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318C1D65"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Pr="000F3DBF">
              <w:rPr>
                <w:sz w:val="24"/>
                <w:szCs w:val="24"/>
              </w:rPr>
              <w:t xml:space="preserve"> </w:t>
            </w:r>
            <w:r w:rsidR="00515F29">
              <w:rPr>
                <w:sz w:val="24"/>
                <w:szCs w:val="24"/>
              </w:rPr>
              <w:t>Employability Tutor</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528D5EF1" w:rsidR="003F2BF7" w:rsidRDefault="00565DBB" w:rsidP="00073F36">
            <w:pPr>
              <w:pStyle w:val="Subtitle"/>
            </w:pPr>
            <w:r>
              <w:t xml:space="preserve">1. </w:t>
            </w:r>
            <w:r w:rsidR="00E4513F">
              <w:t>Circumstances</w:t>
            </w:r>
          </w:p>
        </w:tc>
        <w:tc>
          <w:tcPr>
            <w:tcW w:w="4394" w:type="dxa"/>
            <w:tcBorders>
              <w:top w:val="nil"/>
              <w:left w:val="nil"/>
              <w:bottom w:val="nil"/>
              <w:right w:val="nil"/>
            </w:tcBorders>
          </w:tcPr>
          <w:p w14:paraId="145F9BBB" w14:textId="70FE7A70" w:rsidR="003F2BF7" w:rsidRDefault="00C00F6F" w:rsidP="0096423F">
            <w:pPr>
              <w:tabs>
                <w:tab w:val="left" w:pos="-720"/>
                <w:tab w:val="left" w:pos="277"/>
                <w:tab w:val="left" w:pos="305"/>
              </w:tabs>
              <w:suppressAutoHyphens/>
            </w:pPr>
            <w:r>
              <w:t xml:space="preserve">1. </w:t>
            </w:r>
            <w:r w:rsidRPr="00C00F6F">
              <w:t xml:space="preserve">Ability to work flexibly </w:t>
            </w:r>
            <w:r w:rsidR="00E74671" w:rsidRPr="00C00F6F">
              <w:t>to</w:t>
            </w:r>
            <w:r w:rsidRPr="00C00F6F">
              <w:t xml:space="preserve"> meet the needs of the role, including evening and weekend hours when necessary.</w:t>
            </w:r>
          </w:p>
          <w:p w14:paraId="2929196F" w14:textId="372E9420" w:rsidR="00305F8D" w:rsidRDefault="00305F8D" w:rsidP="0096423F">
            <w:pPr>
              <w:tabs>
                <w:tab w:val="left" w:pos="-720"/>
                <w:tab w:val="left" w:pos="277"/>
                <w:tab w:val="left" w:pos="305"/>
              </w:tabs>
              <w:suppressAutoHyphens/>
            </w:pPr>
            <w:r>
              <w:t xml:space="preserve">2. </w:t>
            </w:r>
            <w:r w:rsidR="00D56F7F" w:rsidRPr="00D56F7F">
              <w:t>A full current driving licence with access to a car or access to transport to fulfil the requirements of the post.</w:t>
            </w:r>
          </w:p>
        </w:tc>
        <w:tc>
          <w:tcPr>
            <w:tcW w:w="3014" w:type="dxa"/>
            <w:tcBorders>
              <w:top w:val="nil"/>
              <w:left w:val="nil"/>
              <w:bottom w:val="nil"/>
              <w:right w:val="nil"/>
            </w:tcBorders>
          </w:tcPr>
          <w:p w14:paraId="201F6127" w14:textId="5C6B0FE6" w:rsidR="003F2BF7" w:rsidRPr="000F3DBF" w:rsidRDefault="003F2BF7" w:rsidP="00A57063">
            <w:pPr>
              <w:pStyle w:val="ListParagraph"/>
              <w:autoSpaceDE w:val="0"/>
              <w:autoSpaceDN w:val="0"/>
              <w:adjustRightInd w:val="0"/>
            </w:pPr>
          </w:p>
        </w:tc>
      </w:tr>
      <w:tr w:rsidR="00E4513F" w14:paraId="4065605A" w14:textId="77777777" w:rsidTr="476FB853">
        <w:trPr>
          <w:trHeight w:val="443"/>
        </w:trPr>
        <w:tc>
          <w:tcPr>
            <w:tcW w:w="2175" w:type="dxa"/>
            <w:tcBorders>
              <w:top w:val="nil"/>
              <w:left w:val="nil"/>
              <w:bottom w:val="nil"/>
              <w:right w:val="nil"/>
            </w:tcBorders>
            <w:shd w:val="clear" w:color="auto" w:fill="CCC0D9" w:themeFill="accent4" w:themeFillTint="66"/>
          </w:tcPr>
          <w:p w14:paraId="1265F1BA" w14:textId="2F664FC1" w:rsidR="00E4513F" w:rsidRDefault="00E4513F" w:rsidP="00E4513F">
            <w:pPr>
              <w:pStyle w:val="Subtitle"/>
            </w:pPr>
            <w:r>
              <w:t>2.Qualifications</w:t>
            </w:r>
          </w:p>
        </w:tc>
        <w:tc>
          <w:tcPr>
            <w:tcW w:w="4394" w:type="dxa"/>
            <w:tcBorders>
              <w:top w:val="nil"/>
              <w:left w:val="nil"/>
              <w:bottom w:val="nil"/>
              <w:right w:val="nil"/>
            </w:tcBorders>
          </w:tcPr>
          <w:p w14:paraId="0C10A952" w14:textId="02C7F012" w:rsidR="00E4513F" w:rsidRPr="002E795D" w:rsidRDefault="00A57063" w:rsidP="00A57063">
            <w:r w:rsidRPr="002E795D">
              <w:t xml:space="preserve">1. </w:t>
            </w:r>
            <w:r w:rsidR="00515F29" w:rsidRPr="002E795D">
              <w:t xml:space="preserve">A teaching or coaching qualification at Level </w:t>
            </w:r>
            <w:r w:rsidR="008E2090" w:rsidRPr="002E795D">
              <w:t xml:space="preserve">6 </w:t>
            </w:r>
            <w:r w:rsidRPr="002E795D">
              <w:t>or higher</w:t>
            </w:r>
            <w:r w:rsidR="00515F29" w:rsidRPr="002E795D">
              <w:t>.</w:t>
            </w:r>
          </w:p>
          <w:p w14:paraId="6BF71A93" w14:textId="7B142DAA" w:rsidR="00515F29" w:rsidRPr="002E795D" w:rsidRDefault="00515F29" w:rsidP="00A57063"/>
        </w:tc>
        <w:tc>
          <w:tcPr>
            <w:tcW w:w="3014" w:type="dxa"/>
            <w:tcBorders>
              <w:top w:val="nil"/>
              <w:left w:val="nil"/>
              <w:bottom w:val="nil"/>
              <w:right w:val="nil"/>
            </w:tcBorders>
          </w:tcPr>
          <w:p w14:paraId="01C3677A" w14:textId="5028BAAF" w:rsidR="00E4513F" w:rsidRPr="009E7F11" w:rsidRDefault="00E4513F" w:rsidP="00515F29">
            <w:pPr>
              <w:spacing w:before="100" w:beforeAutospacing="1" w:after="100" w:afterAutospacing="1"/>
              <w:ind w:left="360"/>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283A0870" w14:textId="77777777" w:rsidR="00CC0386" w:rsidRPr="00CC0386" w:rsidRDefault="00CC0386" w:rsidP="00C256C7">
            <w:pPr>
              <w:numPr>
                <w:ilvl w:val="0"/>
                <w:numId w:val="20"/>
              </w:numPr>
              <w:spacing w:before="100" w:beforeAutospacing="1" w:after="100" w:afterAutospacing="1"/>
            </w:pPr>
            <w:r w:rsidRPr="00CC0386">
              <w:t>Experience working with young people with intellectual disabilities in an education, employment, or social care setting.</w:t>
            </w:r>
          </w:p>
          <w:p w14:paraId="55626EF4" w14:textId="77777777" w:rsidR="00CC0386" w:rsidRPr="00CC0386" w:rsidRDefault="00CC0386" w:rsidP="00C256C7">
            <w:pPr>
              <w:numPr>
                <w:ilvl w:val="0"/>
                <w:numId w:val="20"/>
              </w:numPr>
              <w:spacing w:before="100" w:beforeAutospacing="1" w:after="100" w:afterAutospacing="1"/>
            </w:pPr>
            <w:r w:rsidRPr="00CC0386">
              <w:t>Knowledge of OCN qualifications and experience in supporting learners through accreditation.</w:t>
            </w:r>
          </w:p>
          <w:p w14:paraId="3C475E4F" w14:textId="77777777" w:rsidR="00CC0386" w:rsidRPr="00CC0386" w:rsidRDefault="00CC0386" w:rsidP="00C256C7">
            <w:pPr>
              <w:numPr>
                <w:ilvl w:val="0"/>
                <w:numId w:val="20"/>
              </w:numPr>
              <w:spacing w:before="100" w:beforeAutospacing="1" w:after="100" w:afterAutospacing="1"/>
            </w:pPr>
            <w:r w:rsidRPr="00CC0386">
              <w:t>Strong relationship-building skills, with the ability to engage and collaborate with employers and community partners.</w:t>
            </w:r>
          </w:p>
          <w:p w14:paraId="18F9C41C" w14:textId="77777777" w:rsidR="00CC0386" w:rsidRPr="00CC0386" w:rsidRDefault="00CC0386" w:rsidP="00C256C7">
            <w:pPr>
              <w:numPr>
                <w:ilvl w:val="0"/>
                <w:numId w:val="20"/>
              </w:numPr>
              <w:spacing w:before="100" w:beforeAutospacing="1" w:after="100" w:afterAutospacing="1"/>
            </w:pPr>
            <w:r w:rsidRPr="00CC0386">
              <w:t>Understanding of the barriers to employment for individuals with intellectual disabilities and strategies to support their transition into the workforce.</w:t>
            </w:r>
          </w:p>
          <w:p w14:paraId="40E51D9E" w14:textId="77777777" w:rsidR="00CC0386" w:rsidRPr="00CC0386" w:rsidRDefault="00CC0386" w:rsidP="00C256C7">
            <w:pPr>
              <w:numPr>
                <w:ilvl w:val="0"/>
                <w:numId w:val="20"/>
              </w:numPr>
              <w:spacing w:before="100" w:beforeAutospacing="1" w:after="100" w:afterAutospacing="1"/>
            </w:pPr>
            <w:r w:rsidRPr="00CC0386">
              <w:t>Excellent communication skills—written, verbal, and digital—with the ability to interact effectively with a diverse range of people.</w:t>
            </w:r>
          </w:p>
          <w:p w14:paraId="30AE2020" w14:textId="08054030" w:rsidR="00CC0386" w:rsidRPr="00CC0386" w:rsidRDefault="00CC0386" w:rsidP="00C256C7">
            <w:pPr>
              <w:numPr>
                <w:ilvl w:val="0"/>
                <w:numId w:val="20"/>
              </w:numPr>
              <w:spacing w:before="100" w:beforeAutospacing="1" w:after="100" w:afterAutospacing="1"/>
            </w:pPr>
            <w:r w:rsidRPr="00CC0386">
              <w:t>Strong planning, organi</w:t>
            </w:r>
            <w:r w:rsidR="00515F29">
              <w:t>s</w:t>
            </w:r>
            <w:r w:rsidRPr="00CC0386">
              <w:t>ational, and record-keeping skills.</w:t>
            </w:r>
          </w:p>
          <w:p w14:paraId="23132A6B" w14:textId="77777777" w:rsidR="00CC0386" w:rsidRPr="00CC0386" w:rsidRDefault="00CC0386" w:rsidP="00C256C7">
            <w:pPr>
              <w:numPr>
                <w:ilvl w:val="0"/>
                <w:numId w:val="20"/>
              </w:numPr>
              <w:spacing w:before="100" w:beforeAutospacing="1" w:after="100" w:afterAutospacing="1"/>
            </w:pPr>
            <w:r w:rsidRPr="00CC0386">
              <w:t>Ability to work independently, managing time effectively, while also contributing as part of a team.</w:t>
            </w:r>
          </w:p>
          <w:p w14:paraId="4B3D84DF" w14:textId="77777777" w:rsidR="00D11B80" w:rsidRDefault="00D11B80" w:rsidP="00315F2A">
            <w:pPr>
              <w:spacing w:before="100" w:beforeAutospacing="1" w:after="100" w:afterAutospacing="1"/>
            </w:pPr>
          </w:p>
          <w:p w14:paraId="5575769B" w14:textId="77777777" w:rsidR="00315F2A" w:rsidRDefault="00315F2A" w:rsidP="00315F2A">
            <w:pPr>
              <w:spacing w:before="100" w:beforeAutospacing="1" w:after="100" w:afterAutospacing="1"/>
              <w:rPr>
                <w:rFonts w:cstheme="minorHAnsi"/>
              </w:rPr>
            </w:pPr>
          </w:p>
          <w:p w14:paraId="2CA2F74F" w14:textId="77777777" w:rsidR="00315F2A" w:rsidRDefault="00315F2A" w:rsidP="00315F2A">
            <w:pPr>
              <w:spacing w:before="100" w:beforeAutospacing="1" w:after="100" w:afterAutospacing="1"/>
              <w:rPr>
                <w:rFonts w:cstheme="minorHAnsi"/>
              </w:rPr>
            </w:pPr>
          </w:p>
          <w:p w14:paraId="638CBED3" w14:textId="378FFA1F" w:rsidR="00315F2A" w:rsidRPr="000F3DBF" w:rsidRDefault="00315F2A" w:rsidP="00315F2A">
            <w:pPr>
              <w:spacing w:before="100" w:beforeAutospacing="1" w:after="100" w:afterAutospacing="1"/>
              <w:rPr>
                <w:rFonts w:cstheme="minorHAnsi"/>
              </w:rPr>
            </w:pPr>
          </w:p>
        </w:tc>
        <w:tc>
          <w:tcPr>
            <w:tcW w:w="3014" w:type="dxa"/>
            <w:tcBorders>
              <w:top w:val="nil"/>
              <w:left w:val="nil"/>
              <w:bottom w:val="nil"/>
              <w:right w:val="nil"/>
            </w:tcBorders>
          </w:tcPr>
          <w:p w14:paraId="4E4C8D41" w14:textId="77777777" w:rsidR="00C256C7" w:rsidRDefault="009E7F11" w:rsidP="00C256C7">
            <w:pPr>
              <w:pStyle w:val="ListParagraph"/>
              <w:numPr>
                <w:ilvl w:val="1"/>
                <w:numId w:val="20"/>
              </w:numPr>
              <w:spacing w:before="100" w:beforeAutospacing="1" w:after="100" w:afterAutospacing="1"/>
            </w:pPr>
            <w:r>
              <w:t>Experience in employment coaching, vocational training, or supported employment services.</w:t>
            </w:r>
          </w:p>
          <w:p w14:paraId="28F02F01" w14:textId="7493345B" w:rsidR="009E7F11" w:rsidRDefault="009E7F11" w:rsidP="00C256C7">
            <w:pPr>
              <w:pStyle w:val="ListParagraph"/>
              <w:numPr>
                <w:ilvl w:val="1"/>
                <w:numId w:val="20"/>
              </w:numPr>
              <w:spacing w:before="100" w:beforeAutospacing="1" w:after="100" w:afterAutospacing="1"/>
            </w:pPr>
            <w:r>
              <w:t>Familiarity with inclusive employment practices and reasonable workplace adjustments.</w:t>
            </w:r>
          </w:p>
          <w:p w14:paraId="6A3A1E49" w14:textId="461EA33C" w:rsidR="009B085C" w:rsidRPr="003762D2" w:rsidRDefault="009B085C" w:rsidP="009E7F11">
            <w:pPr>
              <w:spacing w:before="100" w:beforeAutospacing="1" w:after="100" w:afterAutospacing="1"/>
              <w:ind w:left="360"/>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33D24851" w14:textId="4911FE1C" w:rsidR="0042175D" w:rsidRPr="0042175D" w:rsidRDefault="0042175D"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t xml:space="preserve">Competencies – Candidates who are shortlisted for interview will be required to demonstrate how, and to what extent, they meet some or </w:t>
            </w:r>
            <w:proofErr w:type="gramStart"/>
            <w:r>
              <w:t>all of</w:t>
            </w:r>
            <w:proofErr w:type="gramEnd"/>
            <w:r>
              <w:t xml:space="preserve">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 xml:space="preserve">Keeps people well informed and communicates messages clearly and concisely. Listens carefully, evaluates other opinions and </w:t>
            </w:r>
            <w:proofErr w:type="gramStart"/>
            <w:r w:rsidRPr="006B3AC2">
              <w:rPr>
                <w:rStyle w:val="StyleTahoma"/>
                <w:rFonts w:ascii="Calibri" w:hAnsi="Calibri" w:cs="Calibri"/>
              </w:rPr>
              <w:t>is able to</w:t>
            </w:r>
            <w:proofErr w:type="gramEnd"/>
            <w:r w:rsidRPr="006B3AC2">
              <w:rPr>
                <w:rStyle w:val="StyleTahoma"/>
                <w:rFonts w:ascii="Calibri" w:hAnsi="Calibri" w:cs="Calibri"/>
              </w:rPr>
              <w:t xml:space="preserve">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6A5491A2"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Demonstrates leadership attributes within their role towards their colleagues, volunteers, clients and customers.  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xml:space="preserve">       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424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A0654"/>
    <w:multiLevelType w:val="multilevel"/>
    <w:tmpl w:val="0D48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5E2FF1"/>
    <w:multiLevelType w:val="hybridMultilevel"/>
    <w:tmpl w:val="D138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1"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137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316884">
    <w:abstractNumId w:val="11"/>
  </w:num>
  <w:num w:numId="2" w16cid:durableId="353657646">
    <w:abstractNumId w:val="6"/>
  </w:num>
  <w:num w:numId="3" w16cid:durableId="1283800560">
    <w:abstractNumId w:val="3"/>
  </w:num>
  <w:num w:numId="4" w16cid:durableId="900679901">
    <w:abstractNumId w:val="13"/>
  </w:num>
  <w:num w:numId="5" w16cid:durableId="108087098">
    <w:abstractNumId w:val="5"/>
  </w:num>
  <w:num w:numId="6" w16cid:durableId="66848159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687407">
    <w:abstractNumId w:val="16"/>
  </w:num>
  <w:num w:numId="8" w16cid:durableId="2009096969">
    <w:abstractNumId w:val="4"/>
  </w:num>
  <w:num w:numId="9" w16cid:durableId="1583296596">
    <w:abstractNumId w:val="7"/>
  </w:num>
  <w:num w:numId="10" w16cid:durableId="187761900">
    <w:abstractNumId w:val="18"/>
  </w:num>
  <w:num w:numId="11" w16cid:durableId="1053387434">
    <w:abstractNumId w:val="1"/>
  </w:num>
  <w:num w:numId="12" w16cid:durableId="1593510059">
    <w:abstractNumId w:val="8"/>
  </w:num>
  <w:num w:numId="13" w16cid:durableId="462576917">
    <w:abstractNumId w:val="15"/>
  </w:num>
  <w:num w:numId="14" w16cid:durableId="1609506351">
    <w:abstractNumId w:val="14"/>
  </w:num>
  <w:num w:numId="15" w16cid:durableId="1336806405">
    <w:abstractNumId w:val="12"/>
  </w:num>
  <w:num w:numId="16" w16cid:durableId="1854343018">
    <w:abstractNumId w:val="0"/>
  </w:num>
  <w:num w:numId="17" w16cid:durableId="1798716188">
    <w:abstractNumId w:val="17"/>
  </w:num>
  <w:num w:numId="18" w16cid:durableId="328290932">
    <w:abstractNumId w:val="9"/>
  </w:num>
  <w:num w:numId="19" w16cid:durableId="1614170411">
    <w:abstractNumId w:val="2"/>
  </w:num>
  <w:num w:numId="20" w16cid:durableId="1815756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52C24"/>
    <w:rsid w:val="00073F36"/>
    <w:rsid w:val="000917C5"/>
    <w:rsid w:val="000D7A15"/>
    <w:rsid w:val="000F3DBF"/>
    <w:rsid w:val="001337FF"/>
    <w:rsid w:val="001657B5"/>
    <w:rsid w:val="00211B82"/>
    <w:rsid w:val="002732F1"/>
    <w:rsid w:val="00275CB4"/>
    <w:rsid w:val="002A0832"/>
    <w:rsid w:val="002E795D"/>
    <w:rsid w:val="00305F8D"/>
    <w:rsid w:val="00314958"/>
    <w:rsid w:val="00315F2A"/>
    <w:rsid w:val="003762D2"/>
    <w:rsid w:val="003E746D"/>
    <w:rsid w:val="003F2BF7"/>
    <w:rsid w:val="0042175D"/>
    <w:rsid w:val="00434669"/>
    <w:rsid w:val="00474441"/>
    <w:rsid w:val="004A77D9"/>
    <w:rsid w:val="0050041C"/>
    <w:rsid w:val="00515F29"/>
    <w:rsid w:val="00565DBB"/>
    <w:rsid w:val="005859A6"/>
    <w:rsid w:val="005C1EF1"/>
    <w:rsid w:val="00605F3F"/>
    <w:rsid w:val="0061292B"/>
    <w:rsid w:val="006A46C5"/>
    <w:rsid w:val="006C67A5"/>
    <w:rsid w:val="00761F46"/>
    <w:rsid w:val="007622B1"/>
    <w:rsid w:val="007B5758"/>
    <w:rsid w:val="007C3C81"/>
    <w:rsid w:val="00821D7A"/>
    <w:rsid w:val="00827A08"/>
    <w:rsid w:val="008E1729"/>
    <w:rsid w:val="008E2090"/>
    <w:rsid w:val="00905CEB"/>
    <w:rsid w:val="009120B5"/>
    <w:rsid w:val="00935411"/>
    <w:rsid w:val="0095714C"/>
    <w:rsid w:val="00962AC9"/>
    <w:rsid w:val="0096423F"/>
    <w:rsid w:val="0096657C"/>
    <w:rsid w:val="00980313"/>
    <w:rsid w:val="00992C7B"/>
    <w:rsid w:val="009B085C"/>
    <w:rsid w:val="009E2033"/>
    <w:rsid w:val="009E6036"/>
    <w:rsid w:val="009E7F11"/>
    <w:rsid w:val="00A118D2"/>
    <w:rsid w:val="00A218BC"/>
    <w:rsid w:val="00A57063"/>
    <w:rsid w:val="00A74A4B"/>
    <w:rsid w:val="00A74D63"/>
    <w:rsid w:val="00B3698A"/>
    <w:rsid w:val="00B96991"/>
    <w:rsid w:val="00BB34A8"/>
    <w:rsid w:val="00BF53D0"/>
    <w:rsid w:val="00BF798F"/>
    <w:rsid w:val="00C00F6F"/>
    <w:rsid w:val="00C256C7"/>
    <w:rsid w:val="00C97A37"/>
    <w:rsid w:val="00CA260A"/>
    <w:rsid w:val="00CC0386"/>
    <w:rsid w:val="00CD3E56"/>
    <w:rsid w:val="00CF1CDB"/>
    <w:rsid w:val="00D11B80"/>
    <w:rsid w:val="00D20852"/>
    <w:rsid w:val="00D2731B"/>
    <w:rsid w:val="00D3088E"/>
    <w:rsid w:val="00D56F7F"/>
    <w:rsid w:val="00D87FA3"/>
    <w:rsid w:val="00DA53C1"/>
    <w:rsid w:val="00E42420"/>
    <w:rsid w:val="00E4513F"/>
    <w:rsid w:val="00E74671"/>
    <w:rsid w:val="00E85347"/>
    <w:rsid w:val="00F56F36"/>
    <w:rsid w:val="00F9582D"/>
    <w:rsid w:val="00FE25B6"/>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7293">
      <w:bodyDiv w:val="1"/>
      <w:marLeft w:val="0"/>
      <w:marRight w:val="0"/>
      <w:marTop w:val="0"/>
      <w:marBottom w:val="0"/>
      <w:divBdr>
        <w:top w:val="none" w:sz="0" w:space="0" w:color="auto"/>
        <w:left w:val="none" w:sz="0" w:space="0" w:color="auto"/>
        <w:bottom w:val="none" w:sz="0" w:space="0" w:color="auto"/>
        <w:right w:val="none" w:sz="0" w:space="0" w:color="auto"/>
      </w:divBdr>
    </w:div>
    <w:div w:id="9542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994F4-A792-47A0-B3C9-FB2FB9D8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474D416E-541A-4E35-A7E1-135BE0B85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3</cp:revision>
  <dcterms:created xsi:type="dcterms:W3CDTF">2025-02-19T15:37:00Z</dcterms:created>
  <dcterms:modified xsi:type="dcterms:W3CDTF">2025-02-19T15:45:00Z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