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16hr Administrative Assistant</w:t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4F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8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9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current/former employer </w:t>
      </w:r>
    </w:p>
    <w:p w:rsidR="00000000" w:rsidDel="00000000" w:rsidP="00000000" w:rsidRDefault="00000000" w:rsidRPr="00000000" w14:paraId="0000022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3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4F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55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Friday 21st March, 12.00pm.</w:t>
      </w:r>
    </w:p>
    <w:p w:rsidR="00000000" w:rsidDel="00000000" w:rsidP="00000000" w:rsidRDefault="00000000" w:rsidRPr="00000000" w14:paraId="00000256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2nd and 3rd April has been provisionally scheduled for the interviews of successful applicants.</w:t>
      </w:r>
    </w:p>
    <w:p w:rsidR="00000000" w:rsidDel="00000000" w:rsidP="00000000" w:rsidRDefault="00000000" w:rsidRPr="00000000" w14:paraId="00000257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5B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5C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5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dOEGKQgZ0ApgzUNb24LimxStw==">CgMxLjA4AHIhMXFSN2RlN1kySXh4ZFRDc1RDT05BVDI2T213UUg1eXdm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