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E15CA6"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(Days)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0A4F06B0"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(Days)</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8F44CC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 Belfast</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37AE14A6"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Senior Support Worker &amp;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6BDF4DFD" w:rsidR="00EC4F18" w:rsidRPr="006C167C" w:rsidRDefault="006C167C">
            <w:pPr>
              <w:rPr>
                <w:rFonts w:ascii="Arial" w:hAnsi="Arial" w:cs="Arial"/>
              </w:rPr>
            </w:pPr>
            <w:r w:rsidRPr="006C167C">
              <w:rPr>
                <w:rFonts w:ascii="Arial" w:hAnsi="Arial" w:cs="Arial"/>
              </w:rPr>
              <w:t xml:space="preserve">£28,878 to £30,201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6E4153DF"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48-hour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Undertake assessments of client need to ensure that referrals are fairly assessed with regard to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Establish and maintain appropriate professional boundaries with clients at all times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all areas of the accommodation including sleeping areas, kitchens and other internal and external areas are safe and secure for clients, staff, volunteers and visitors at all times</w:t>
            </w:r>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AF2880" w:rsidRDefault="001F7CE8" w:rsidP="009114AB">
            <w:pPr>
              <w:jc w:val="center"/>
              <w:rPr>
                <w:rFonts w:ascii="Arial" w:hAnsi="Arial" w:cs="Arial"/>
                <w:b/>
                <w:bCs/>
                <w:color w:val="333333"/>
              </w:rPr>
            </w:pPr>
            <w:r w:rsidRPr="00AF2880">
              <w:rPr>
                <w:rFonts w:ascii="Arial" w:hAnsi="Arial" w:cs="Arial"/>
                <w:b/>
                <w:bCs/>
                <w:color w:val="333333"/>
              </w:rPr>
              <w:lastRenderedPageBreak/>
              <w:t>PERSON SPECIFICATION</w:t>
            </w:r>
          </w:p>
        </w:tc>
      </w:tr>
      <w:tr w:rsidR="001F7CE8" w:rsidRPr="00740D91" w14:paraId="38AA4E97" w14:textId="77777777" w:rsidTr="00F007E4">
        <w:trPr>
          <w:trHeight w:val="410"/>
        </w:trPr>
        <w:tc>
          <w:tcPr>
            <w:tcW w:w="2368" w:type="dxa"/>
            <w:shd w:val="clear" w:color="auto" w:fill="D9D9D9" w:themeFill="background1" w:themeFillShade="D9"/>
          </w:tcPr>
          <w:p w14:paraId="3EFA877B" w14:textId="7FEE7E9E" w:rsidR="001F7CE8" w:rsidRPr="003E1DF5" w:rsidRDefault="001F7CE8" w:rsidP="001F7CE8">
            <w:pPr>
              <w:rPr>
                <w:rFonts w:ascii="Arial" w:hAnsi="Arial" w:cs="Arial"/>
                <w:b/>
                <w:bCs/>
              </w:rPr>
            </w:pPr>
            <w:r w:rsidRPr="003E1DF5">
              <w:rPr>
                <w:rFonts w:ascii="Arial" w:hAnsi="Arial" w:cs="Arial"/>
                <w:b/>
                <w:bCs/>
              </w:rPr>
              <w:t>ESSENTIAL CRITERIA</w:t>
            </w:r>
          </w:p>
        </w:tc>
        <w:tc>
          <w:tcPr>
            <w:tcW w:w="7652" w:type="dxa"/>
          </w:tcPr>
          <w:p w14:paraId="7B1329C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Qualified to at least Grade A-C GCSE / O-Level in English &amp; Maths or Equivalent </w:t>
            </w:r>
          </w:p>
          <w:p w14:paraId="567D7E06"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27588E7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including; high level communication skills, planning and organising skills, adaptable and capable of managing change, empathetic and tolerant and capable of dealing with challenges in appositive and solution focused manner. </w:t>
            </w:r>
          </w:p>
          <w:p w14:paraId="2C2C4045" w14:textId="5518DCAC" w:rsidR="00880273" w:rsidRPr="00AF2880" w:rsidRDefault="00925087" w:rsidP="00014D21">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1F7CE8" w:rsidRPr="00740D91" w14:paraId="4BB9E966" w14:textId="77777777" w:rsidTr="00F007E4">
        <w:trPr>
          <w:trHeight w:val="410"/>
        </w:trPr>
        <w:tc>
          <w:tcPr>
            <w:tcW w:w="2368" w:type="dxa"/>
            <w:shd w:val="clear" w:color="auto" w:fill="D9D9D9" w:themeFill="background1" w:themeFillShade="D9"/>
          </w:tcPr>
          <w:p w14:paraId="0F97651B" w14:textId="3F585872" w:rsidR="001F7CE8" w:rsidRPr="003E1DF5" w:rsidRDefault="001F7CE8" w:rsidP="001F7CE8">
            <w:pPr>
              <w:rPr>
                <w:rFonts w:ascii="Arial" w:hAnsi="Arial" w:cs="Arial"/>
                <w:b/>
                <w:bCs/>
              </w:rPr>
            </w:pPr>
            <w:r w:rsidRPr="003E1DF5">
              <w:rPr>
                <w:rFonts w:ascii="Arial" w:hAnsi="Arial" w:cs="Arial"/>
                <w:b/>
                <w:bCs/>
              </w:rPr>
              <w:t>DESIRABLE CRITERIA</w:t>
            </w:r>
          </w:p>
        </w:tc>
        <w:tc>
          <w:tcPr>
            <w:tcW w:w="7652" w:type="dxa"/>
          </w:tcPr>
          <w:p w14:paraId="70D7E9BF" w14:textId="77777777" w:rsidR="00396B34" w:rsidRPr="00AF2880" w:rsidRDefault="00396B34"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7AD03338" w:rsidR="001F7CE8" w:rsidRPr="00AF2880" w:rsidRDefault="00014D21"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74385"/>
    <w:rsid w:val="0008307A"/>
    <w:rsid w:val="000A3D2B"/>
    <w:rsid w:val="000E7E17"/>
    <w:rsid w:val="000F5C8D"/>
    <w:rsid w:val="00107F73"/>
    <w:rsid w:val="00121CAA"/>
    <w:rsid w:val="00122690"/>
    <w:rsid w:val="00124917"/>
    <w:rsid w:val="00151A88"/>
    <w:rsid w:val="00166FD7"/>
    <w:rsid w:val="001768E2"/>
    <w:rsid w:val="00196A14"/>
    <w:rsid w:val="001A363A"/>
    <w:rsid w:val="001E566C"/>
    <w:rsid w:val="001F7CE8"/>
    <w:rsid w:val="00230B54"/>
    <w:rsid w:val="002367F7"/>
    <w:rsid w:val="002872E8"/>
    <w:rsid w:val="00297897"/>
    <w:rsid w:val="002A3694"/>
    <w:rsid w:val="002B1CD2"/>
    <w:rsid w:val="002D7BAC"/>
    <w:rsid w:val="0030711D"/>
    <w:rsid w:val="00353E65"/>
    <w:rsid w:val="00396B34"/>
    <w:rsid w:val="003A4121"/>
    <w:rsid w:val="003E1DF5"/>
    <w:rsid w:val="003F2B79"/>
    <w:rsid w:val="00401A67"/>
    <w:rsid w:val="004039C1"/>
    <w:rsid w:val="00411C8D"/>
    <w:rsid w:val="00424604"/>
    <w:rsid w:val="00445C6C"/>
    <w:rsid w:val="00455C23"/>
    <w:rsid w:val="00465F6F"/>
    <w:rsid w:val="004A5084"/>
    <w:rsid w:val="004B1D2E"/>
    <w:rsid w:val="004B6F69"/>
    <w:rsid w:val="004F21F9"/>
    <w:rsid w:val="00582B05"/>
    <w:rsid w:val="005A01C8"/>
    <w:rsid w:val="005A1371"/>
    <w:rsid w:val="005A60FE"/>
    <w:rsid w:val="006248F1"/>
    <w:rsid w:val="006615DF"/>
    <w:rsid w:val="00677E3F"/>
    <w:rsid w:val="006C167C"/>
    <w:rsid w:val="007374A6"/>
    <w:rsid w:val="00740D91"/>
    <w:rsid w:val="00756DD1"/>
    <w:rsid w:val="007A45D3"/>
    <w:rsid w:val="007B0AB8"/>
    <w:rsid w:val="007B2E18"/>
    <w:rsid w:val="007C2F0A"/>
    <w:rsid w:val="00806E7B"/>
    <w:rsid w:val="008144EC"/>
    <w:rsid w:val="00874AAC"/>
    <w:rsid w:val="008762D7"/>
    <w:rsid w:val="00876B8D"/>
    <w:rsid w:val="00880273"/>
    <w:rsid w:val="0088160E"/>
    <w:rsid w:val="00891AB4"/>
    <w:rsid w:val="008C683E"/>
    <w:rsid w:val="008D3993"/>
    <w:rsid w:val="009114AB"/>
    <w:rsid w:val="00925087"/>
    <w:rsid w:val="00932FF8"/>
    <w:rsid w:val="00956300"/>
    <w:rsid w:val="00977884"/>
    <w:rsid w:val="009B2599"/>
    <w:rsid w:val="009D4C3B"/>
    <w:rsid w:val="00A25D53"/>
    <w:rsid w:val="00AC4419"/>
    <w:rsid w:val="00AC7D24"/>
    <w:rsid w:val="00AF2880"/>
    <w:rsid w:val="00B12372"/>
    <w:rsid w:val="00B2564A"/>
    <w:rsid w:val="00B367B1"/>
    <w:rsid w:val="00B835ED"/>
    <w:rsid w:val="00B943FA"/>
    <w:rsid w:val="00B94784"/>
    <w:rsid w:val="00BA7979"/>
    <w:rsid w:val="00BC44A6"/>
    <w:rsid w:val="00BE0D40"/>
    <w:rsid w:val="00BF0A94"/>
    <w:rsid w:val="00C072C7"/>
    <w:rsid w:val="00C4079D"/>
    <w:rsid w:val="00CC6C74"/>
    <w:rsid w:val="00CE61D2"/>
    <w:rsid w:val="00D13F1E"/>
    <w:rsid w:val="00D2274E"/>
    <w:rsid w:val="00DA46BB"/>
    <w:rsid w:val="00E279AB"/>
    <w:rsid w:val="00E560EA"/>
    <w:rsid w:val="00E67809"/>
    <w:rsid w:val="00EA0473"/>
    <w:rsid w:val="00EC08D3"/>
    <w:rsid w:val="00EC4F18"/>
    <w:rsid w:val="00F162EF"/>
    <w:rsid w:val="00F22FB2"/>
    <w:rsid w:val="00F2313A"/>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C063-FD10-4339-9EDE-2EC5D6E6056A}">
  <ds:schemaRefs>
    <ds:schemaRef ds:uri="ccb13a2d-0b85-4dee-ad37-db48307ffe12"/>
    <ds:schemaRef ds:uri="55058899-e740-465d-8e73-ec90720a9a68"/>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cp:revision>
  <cp:lastPrinted>2024-06-07T09:04:00Z</cp:lastPrinted>
  <dcterms:created xsi:type="dcterms:W3CDTF">2024-12-04T12:52:00Z</dcterms:created>
  <dcterms:modified xsi:type="dcterms:W3CDTF">2024-12-04T12:52:00Z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