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6" w:rsidRPr="00C776FA" w:rsidRDefault="00E946B3" w:rsidP="00E946B3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D4851C" wp14:editId="28036182">
            <wp:extent cx="1562735" cy="975360"/>
            <wp:effectExtent l="0" t="0" r="0" b="0"/>
            <wp:docPr id="1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19004" r="5108" b="23012"/>
                    <a:stretch/>
                  </pic:blipFill>
                  <pic:spPr>
                    <a:xfrm>
                      <a:off x="0" y="0"/>
                      <a:ext cx="15627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C776FA" w:rsidTr="00C86B86">
        <w:trPr>
          <w:cantSplit/>
        </w:trPr>
        <w:tc>
          <w:tcPr>
            <w:tcW w:w="5000" w:type="pct"/>
            <w:shd w:val="clear" w:color="auto" w:fill="auto"/>
          </w:tcPr>
          <w:p w:rsidR="00FD0E64" w:rsidRDefault="00FD0E64" w:rsidP="00687CD1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  <w:p w:rsidR="005E734D" w:rsidRPr="00C776FA" w:rsidRDefault="005E734D" w:rsidP="00687CD1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C776FA">
              <w:rPr>
                <w:rFonts w:asciiTheme="minorHAnsi" w:hAnsiTheme="minorHAnsi" w:cstheme="minorHAnsi"/>
                <w:bCs/>
                <w:sz w:val="24"/>
                <w:u w:val="single"/>
              </w:rPr>
              <w:t>JOB DESCRIPTION</w:t>
            </w:r>
          </w:p>
          <w:p w:rsidR="00021331" w:rsidRPr="00C776FA" w:rsidRDefault="00021331" w:rsidP="00687CD1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</w:tr>
    </w:tbl>
    <w:p w:rsidR="005E734D" w:rsidRPr="00C776FA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42" w:type="pct"/>
        <w:tblInd w:w="10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1"/>
        <w:gridCol w:w="3103"/>
        <w:gridCol w:w="1585"/>
        <w:gridCol w:w="3036"/>
      </w:tblGrid>
      <w:tr w:rsidR="005E734D" w:rsidRPr="00D113AF" w:rsidTr="005110AD">
        <w:tc>
          <w:tcPr>
            <w:tcW w:w="772" w:type="pct"/>
            <w:tcBorders>
              <w:right w:val="single" w:sz="4" w:space="0" w:color="auto"/>
            </w:tcBorders>
          </w:tcPr>
          <w:p w:rsidR="005E734D" w:rsidRPr="00D113AF" w:rsidRDefault="005E734D" w:rsidP="00687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687CD1" w:rsidP="00687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Guidance Counsellor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</w:tcPr>
          <w:p w:rsidR="005E734D" w:rsidRPr="00D113AF" w:rsidRDefault="005E734D" w:rsidP="00687C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Reports To: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E95F38" w:rsidP="00C07A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DSS Co-ordinator</w:t>
            </w:r>
          </w:p>
        </w:tc>
      </w:tr>
    </w:tbl>
    <w:p w:rsidR="005E734D" w:rsidRPr="00D113AF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3102"/>
        <w:gridCol w:w="1584"/>
        <w:gridCol w:w="3037"/>
      </w:tblGrid>
      <w:tr w:rsidR="005E734D" w:rsidRPr="00D113AF" w:rsidTr="00687CD1">
        <w:tc>
          <w:tcPr>
            <w:tcW w:w="822" w:type="pct"/>
            <w:tcBorders>
              <w:right w:val="single" w:sz="4" w:space="0" w:color="auto"/>
            </w:tcBorders>
          </w:tcPr>
          <w:p w:rsidR="005E734D" w:rsidRPr="00D113AF" w:rsidRDefault="005E734D" w:rsidP="00687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Programme 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4452C5" w:rsidP="00687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Disability Support Services</w:t>
            </w:r>
          </w:p>
          <w:p w:rsidR="00206BF4" w:rsidRPr="00D113AF" w:rsidRDefault="00206BF4" w:rsidP="00687C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</w:tcPr>
          <w:p w:rsidR="005E734D" w:rsidRPr="00D113AF" w:rsidRDefault="005E734D" w:rsidP="00687C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4452C5" w:rsidP="005E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throughout NI</w:t>
            </w:r>
          </w:p>
        </w:tc>
      </w:tr>
    </w:tbl>
    <w:p w:rsidR="005E734D" w:rsidRPr="00D113AF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p w:rsidR="00021331" w:rsidRPr="00D113AF" w:rsidRDefault="00021331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5E734D" w:rsidRPr="00D113AF" w:rsidTr="00FD0E64">
        <w:trPr>
          <w:trHeight w:val="1086"/>
        </w:trPr>
        <w:tc>
          <w:tcPr>
            <w:tcW w:w="822" w:type="pct"/>
            <w:tcBorders>
              <w:right w:val="single" w:sz="4" w:space="0" w:color="auto"/>
            </w:tcBorders>
          </w:tcPr>
          <w:p w:rsidR="005E734D" w:rsidRPr="00D113AF" w:rsidRDefault="005E734D" w:rsidP="005E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Job Purpose: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5" w:rsidRDefault="004452C5" w:rsidP="004452C5">
            <w:pPr>
              <w:rPr>
                <w:rFonts w:ascii="Calibri" w:hAnsi="Calibri" w:cs="Calibri"/>
                <w:sz w:val="22"/>
                <w:szCs w:val="22"/>
              </w:rPr>
            </w:pPr>
            <w:r w:rsidRPr="00490B6D">
              <w:rPr>
                <w:rFonts w:ascii="Calibri" w:hAnsi="Calibri" w:cs="Calibri"/>
                <w:sz w:val="22"/>
                <w:szCs w:val="22"/>
              </w:rPr>
              <w:t xml:space="preserve">To provide a support service to young people who require support whilst participating on the Training for Success and/or Apprenticeships NI Programme as agreed with the Disability Support Services </w:t>
            </w:r>
            <w:r>
              <w:rPr>
                <w:rFonts w:ascii="Calibri" w:hAnsi="Calibri" w:cs="Calibri"/>
                <w:sz w:val="22"/>
                <w:szCs w:val="22"/>
              </w:rPr>
              <w:t>Co-ordinator</w:t>
            </w:r>
            <w:r w:rsidRPr="00490B6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687CD1" w:rsidRDefault="00687CD1" w:rsidP="004452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2C5" w:rsidRPr="00490B6D" w:rsidRDefault="00687CD1" w:rsidP="00687CD1">
            <w:pPr>
              <w:tabs>
                <w:tab w:val="left" w:pos="6829"/>
              </w:tabs>
              <w:ind w:right="4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4B58">
              <w:rPr>
                <w:rFonts w:ascii="Calibri" w:hAnsi="Calibri" w:cs="Calibri"/>
                <w:sz w:val="22"/>
                <w:szCs w:val="22"/>
              </w:rPr>
              <w:t>To provide a professional counselling service to offer guidance to the young person to deal with issues that affect their mental health and well-being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encourage them to discuss emotions and experiences.  </w:t>
            </w:r>
          </w:p>
          <w:p w:rsidR="004452C5" w:rsidRDefault="004452C5" w:rsidP="004452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D06" w:rsidRPr="00FD0E64" w:rsidRDefault="004452C5" w:rsidP="004452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54B58">
              <w:rPr>
                <w:rFonts w:ascii="Calibri" w:hAnsi="Calibri"/>
                <w:sz w:val="22"/>
                <w:szCs w:val="22"/>
              </w:rPr>
              <w:t>This role may involve the post holder to work outside normal working hours to include weekends and evenings.</w:t>
            </w:r>
          </w:p>
        </w:tc>
      </w:tr>
    </w:tbl>
    <w:p w:rsidR="005E734D" w:rsidRPr="00D113AF" w:rsidRDefault="005E734D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40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Working Relationships: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D113AF" w:rsidRDefault="00E95F38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Reports to DSS Co-ordinator</w:t>
            </w:r>
          </w:p>
          <w:p w:rsidR="00A064BF" w:rsidRPr="00D113AF" w:rsidRDefault="00A064BF" w:rsidP="00445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>Works closely with participants</w:t>
            </w:r>
            <w:r w:rsidR="004452C5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 xml:space="preserve"> staff, </w:t>
            </w:r>
            <w:r w:rsidR="00B15020">
              <w:rPr>
                <w:rFonts w:asciiTheme="minorHAnsi" w:hAnsiTheme="minorHAnsi" w:cstheme="minorHAnsi"/>
                <w:sz w:val="22"/>
                <w:szCs w:val="22"/>
              </w:rPr>
              <w:t xml:space="preserve">training organisations, </w:t>
            </w: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>support agencies and key stakeholders</w:t>
            </w:r>
          </w:p>
        </w:tc>
      </w:tr>
    </w:tbl>
    <w:p w:rsidR="00021331" w:rsidRPr="00D113AF" w:rsidRDefault="00021331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32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Hours of Work: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D113AF" w:rsidRDefault="00E95F38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</w:tr>
    </w:tbl>
    <w:p w:rsidR="00D0698B" w:rsidRPr="00D113AF" w:rsidRDefault="00D0698B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14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Holidays: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0612EB" w:rsidRDefault="00E95F38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  <w:r w:rsidR="004452C5">
              <w:rPr>
                <w:rFonts w:asciiTheme="minorHAnsi" w:hAnsiTheme="minorHAnsi" w:cstheme="minorHAnsi"/>
                <w:sz w:val="22"/>
                <w:szCs w:val="22"/>
              </w:rPr>
              <w:t xml:space="preserve"> (depending on support hours)</w:t>
            </w:r>
          </w:p>
        </w:tc>
      </w:tr>
    </w:tbl>
    <w:tbl>
      <w:tblPr>
        <w:tblpPr w:leftFromText="180" w:rightFromText="180" w:vertAnchor="text" w:tblpY="119"/>
        <w:tblW w:w="0" w:type="auto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A064BF" w:rsidRPr="00D113AF" w:rsidTr="00A064B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F" w:rsidRPr="00D113AF" w:rsidRDefault="00A064BF" w:rsidP="00BA6299">
            <w:pPr>
              <w:pStyle w:val="Heading1"/>
              <w:jc w:val="left"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bCs/>
                <w:szCs w:val="22"/>
                <w:u w:val="single"/>
              </w:rPr>
              <w:t xml:space="preserve">Key Job Duties </w:t>
            </w:r>
          </w:p>
        </w:tc>
      </w:tr>
      <w:tr w:rsidR="00687CD1" w:rsidRPr="00D113AF" w:rsidTr="00687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687CD1" w:rsidRPr="00687CD1" w:rsidRDefault="00687CD1" w:rsidP="00E95F38">
            <w:pPr>
              <w:pStyle w:val="ListParagraph"/>
              <w:numPr>
                <w:ilvl w:val="0"/>
                <w:numId w:val="25"/>
              </w:numPr>
              <w:ind w:right="1376"/>
              <w:jc w:val="both"/>
              <w:rPr>
                <w:rFonts w:cs="Calibri"/>
              </w:rPr>
            </w:pPr>
            <w:r w:rsidRPr="00687CD1">
              <w:rPr>
                <w:rFonts w:cs="Calibri"/>
              </w:rPr>
              <w:t xml:space="preserve">Provide specialist support as agreed with the DSS </w:t>
            </w:r>
            <w:r w:rsidR="00E95F38">
              <w:rPr>
                <w:rFonts w:cs="Calibri"/>
              </w:rPr>
              <w:t>Co-ordinator</w:t>
            </w:r>
            <w:r w:rsidRPr="00687CD1">
              <w:rPr>
                <w:rFonts w:cs="Calibri"/>
              </w:rPr>
              <w:t xml:space="preserve"> and tailored to</w:t>
            </w:r>
            <w:r w:rsidR="00E95F38">
              <w:rPr>
                <w:rFonts w:cs="Calibri"/>
              </w:rPr>
              <w:t xml:space="preserve"> suit</w:t>
            </w:r>
            <w:r w:rsidRPr="00687CD1">
              <w:rPr>
                <w:rFonts w:cs="Calibri"/>
              </w:rPr>
              <w:t xml:space="preserve"> the young persons’ needs. </w:t>
            </w:r>
          </w:p>
        </w:tc>
      </w:tr>
      <w:tr w:rsidR="00687CD1" w:rsidRPr="00D113AF" w:rsidTr="00687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8"/>
        </w:trPr>
        <w:tc>
          <w:tcPr>
            <w:tcW w:w="0" w:type="auto"/>
          </w:tcPr>
          <w:p w:rsidR="00687CD1" w:rsidRPr="00687CD1" w:rsidRDefault="00687CD1" w:rsidP="00687CD1">
            <w:pPr>
              <w:pStyle w:val="ListParagraph"/>
              <w:numPr>
                <w:ilvl w:val="0"/>
                <w:numId w:val="25"/>
              </w:numPr>
              <w:ind w:right="282"/>
            </w:pPr>
            <w:r w:rsidRPr="00687CD1">
              <w:t>Agree a counselling contract to determine what will be covered in sessions (including confidentiality issues).</w:t>
            </w:r>
          </w:p>
        </w:tc>
      </w:tr>
      <w:tr w:rsidR="00E95F38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E95F38" w:rsidRPr="00687CD1" w:rsidRDefault="00E95F38" w:rsidP="00E95F38">
            <w:pPr>
              <w:pStyle w:val="ListParagraph"/>
              <w:numPr>
                <w:ilvl w:val="0"/>
                <w:numId w:val="25"/>
              </w:numPr>
              <w:ind w:right="282"/>
            </w:pPr>
            <w:r w:rsidRPr="00687CD1">
              <w:t xml:space="preserve">Maintain records of engagement, progress, development, positive milestones. </w:t>
            </w:r>
          </w:p>
        </w:tc>
      </w:tr>
      <w:tr w:rsidR="00E95F38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E95F38" w:rsidRPr="00687CD1" w:rsidRDefault="00E95F38" w:rsidP="00E95F38">
            <w:pPr>
              <w:pStyle w:val="ListParagraph"/>
              <w:numPr>
                <w:ilvl w:val="0"/>
                <w:numId w:val="25"/>
              </w:numPr>
              <w:ind w:right="282"/>
            </w:pPr>
            <w:r>
              <w:lastRenderedPageBreak/>
              <w:t>If required, r</w:t>
            </w:r>
            <w:r w:rsidRPr="00687CD1">
              <w:t>efer the young person to s</w:t>
            </w:r>
            <w:r>
              <w:t>pecialist support organisations</w:t>
            </w:r>
            <w:r w:rsidRPr="00687CD1">
              <w:t xml:space="preserve">. </w:t>
            </w:r>
          </w:p>
        </w:tc>
      </w:tr>
      <w:tr w:rsidR="00E95F38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E95F38" w:rsidRPr="00687CD1" w:rsidRDefault="00E95F38" w:rsidP="00E95F38">
            <w:pPr>
              <w:pStyle w:val="ListParagraph"/>
              <w:numPr>
                <w:ilvl w:val="0"/>
                <w:numId w:val="25"/>
              </w:numPr>
              <w:ind w:right="282"/>
              <w:rPr>
                <w:rFonts w:cs="Calibri"/>
              </w:rPr>
            </w:pPr>
            <w:r w:rsidRPr="00687CD1">
              <w:rPr>
                <w:rFonts w:cs="Calibri"/>
              </w:rPr>
              <w:t xml:space="preserve">Provide monthly updates to the DSS </w:t>
            </w:r>
            <w:r>
              <w:rPr>
                <w:rFonts w:cs="Calibri"/>
              </w:rPr>
              <w:t>Co-ordinator</w:t>
            </w:r>
            <w:r w:rsidRPr="00687CD1">
              <w:rPr>
                <w:rFonts w:cs="Calibri"/>
              </w:rPr>
              <w:t xml:space="preserve"> on the young persons’ progress. </w:t>
            </w:r>
          </w:p>
        </w:tc>
      </w:tr>
      <w:tr w:rsidR="00E95F38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E95F38" w:rsidRPr="00687CD1" w:rsidRDefault="00E95F38" w:rsidP="00E95F38">
            <w:pPr>
              <w:pStyle w:val="ListParagraph"/>
              <w:numPr>
                <w:ilvl w:val="0"/>
                <w:numId w:val="25"/>
              </w:numPr>
              <w:ind w:right="1376"/>
              <w:jc w:val="both"/>
              <w:rPr>
                <w:rFonts w:cs="Calibri"/>
              </w:rPr>
            </w:pPr>
            <w:r w:rsidRPr="00687CD1">
              <w:rPr>
                <w:rFonts w:cs="Calibri"/>
              </w:rPr>
              <w:t>Assist the young person throughout the programme and advise them of the services that are available to support them in their learning and reasonable adjustments.</w:t>
            </w:r>
          </w:p>
        </w:tc>
      </w:tr>
      <w:tr w:rsidR="00E95F38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E95F38" w:rsidRPr="006753B8" w:rsidRDefault="00E95F38" w:rsidP="00E95F38">
            <w:pPr>
              <w:ind w:right="95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38DB">
              <w:rPr>
                <w:rFonts w:asciiTheme="minorHAnsi" w:hAnsiTheme="minorHAnsi" w:cstheme="minorHAnsi"/>
                <w:sz w:val="22"/>
                <w:szCs w:val="22"/>
              </w:rPr>
              <w:t>The key job duties listed above give a broad outline of the functions of the role.  However, these duties must be approached in a flexible manner. The job holder will be expected to adapt to changing circumstances and undertake other duties as allocated by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  <w:r w:rsidRPr="007D38DB">
              <w:rPr>
                <w:rFonts w:asciiTheme="minorHAnsi" w:hAnsiTheme="minorHAnsi" w:cstheme="minorHAnsi"/>
                <w:sz w:val="22"/>
                <w:szCs w:val="22"/>
              </w:rPr>
              <w:t xml:space="preserve">.  The outline of the job duties may change from time to time.  </w:t>
            </w:r>
          </w:p>
        </w:tc>
      </w:tr>
    </w:tbl>
    <w:p w:rsidR="00D12BDE" w:rsidRDefault="00D12BDE"/>
    <w:tbl>
      <w:tblPr>
        <w:tblpPr w:leftFromText="180" w:rightFromText="180" w:vertAnchor="tex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2B5C88" w:rsidRPr="00D113AF" w:rsidTr="00D12BDE">
        <w:trPr>
          <w:trHeight w:val="365"/>
        </w:trPr>
        <w:tc>
          <w:tcPr>
            <w:tcW w:w="0" w:type="auto"/>
          </w:tcPr>
          <w:p w:rsidR="002B5C88" w:rsidRPr="00D12BDE" w:rsidRDefault="00D12BDE" w:rsidP="007613D9">
            <w:pPr>
              <w:ind w:right="95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2B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General Duties</w:t>
            </w:r>
          </w:p>
        </w:tc>
      </w:tr>
      <w:tr w:rsidR="00D12BDE" w:rsidRPr="00D113AF" w:rsidTr="00A064BF">
        <w:trPr>
          <w:trHeight w:val="697"/>
        </w:trPr>
        <w:tc>
          <w:tcPr>
            <w:tcW w:w="0" w:type="auto"/>
          </w:tcPr>
          <w:p w:rsidR="00D12BDE" w:rsidRPr="00C776FA" w:rsidRDefault="00D12BDE" w:rsidP="00D12BDE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 xml:space="preserve">arry out job duties in compliance with Clanrye Group’s policies and procedures to include equal opportunities and health and safety legislation.  </w:t>
            </w:r>
          </w:p>
        </w:tc>
      </w:tr>
      <w:tr w:rsidR="00D12BDE" w:rsidRPr="00D113AF" w:rsidTr="00A064BF">
        <w:trPr>
          <w:trHeight w:val="697"/>
        </w:trPr>
        <w:tc>
          <w:tcPr>
            <w:tcW w:w="0" w:type="auto"/>
          </w:tcPr>
          <w:p w:rsidR="00D12BDE" w:rsidRPr="00C776FA" w:rsidRDefault="00D12BDE" w:rsidP="00D12BDE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 xml:space="preserve">dhere to existing work practices, procedures and undertake relevant training and development activities and to respond positively to new and alternative systems. </w:t>
            </w:r>
          </w:p>
        </w:tc>
      </w:tr>
      <w:tr w:rsidR="00D12BDE" w:rsidRPr="00D113AF" w:rsidTr="00A064BF">
        <w:trPr>
          <w:trHeight w:val="697"/>
        </w:trPr>
        <w:tc>
          <w:tcPr>
            <w:tcW w:w="0" w:type="auto"/>
          </w:tcPr>
          <w:p w:rsidR="00D12BDE" w:rsidRPr="00C776FA" w:rsidRDefault="00D12BDE" w:rsidP="00D12BDE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Keep up 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>to date with new resources in line with industry demand and currency ensuring participants are trained using the most up to date and current resources.</w:t>
            </w:r>
          </w:p>
        </w:tc>
      </w:tr>
      <w:tr w:rsidR="00D12BDE" w:rsidRPr="00D113AF" w:rsidTr="00A064BF">
        <w:trPr>
          <w:trHeight w:val="697"/>
        </w:trPr>
        <w:tc>
          <w:tcPr>
            <w:tcW w:w="0" w:type="auto"/>
          </w:tcPr>
          <w:p w:rsidR="00D12BDE" w:rsidRPr="00C776FA" w:rsidRDefault="00D12BDE" w:rsidP="00D12BDE">
            <w:pPr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>ct in compliance with all course examination, assessment and validation requirements.</w:t>
            </w:r>
          </w:p>
        </w:tc>
      </w:tr>
      <w:tr w:rsidR="00D12BDE" w:rsidRPr="00D113AF" w:rsidTr="00A064BF">
        <w:trPr>
          <w:trHeight w:val="697"/>
        </w:trPr>
        <w:tc>
          <w:tcPr>
            <w:tcW w:w="0" w:type="auto"/>
          </w:tcPr>
          <w:p w:rsidR="00D12BDE" w:rsidRPr="00774928" w:rsidRDefault="00D12BDE" w:rsidP="00D12BD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rPr>
                <w:rFonts w:asciiTheme="minorHAnsi" w:hAnsiTheme="minorHAnsi" w:cstheme="minorHAnsi"/>
              </w:rPr>
            </w:pPr>
            <w:r w:rsidRPr="00774928">
              <w:rPr>
                <w:rFonts w:asciiTheme="minorHAnsi" w:hAnsiTheme="minorHAnsi" w:cstheme="minorHAnsi"/>
              </w:rPr>
              <w:t xml:space="preserve">Ensure quality of provision at all times. </w:t>
            </w:r>
          </w:p>
        </w:tc>
      </w:tr>
      <w:tr w:rsidR="00D12BDE" w:rsidRPr="00D113AF" w:rsidTr="00A064BF">
        <w:trPr>
          <w:trHeight w:val="697"/>
        </w:trPr>
        <w:tc>
          <w:tcPr>
            <w:tcW w:w="0" w:type="auto"/>
          </w:tcPr>
          <w:p w:rsidR="00D12BDE" w:rsidRPr="000802C5" w:rsidRDefault="00D12BDE" w:rsidP="00D12BDE">
            <w:pPr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802C5">
              <w:rPr>
                <w:rFonts w:asciiTheme="minorHAnsi" w:hAnsiTheme="minorHAnsi" w:cstheme="minorHAnsi"/>
                <w:sz w:val="22"/>
                <w:szCs w:val="22"/>
              </w:rPr>
              <w:t xml:space="preserve">emonstrate commitment to Clanrye Group through the completion of all tasks allocated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0802C5">
              <w:rPr>
                <w:rFonts w:asciiTheme="minorHAnsi" w:hAnsiTheme="minorHAnsi" w:cstheme="minorHAnsi"/>
                <w:sz w:val="22"/>
                <w:szCs w:val="22"/>
              </w:rPr>
              <w:t xml:space="preserve">and by attending staff and development opportunities to ensure that professional competency is maintained. </w:t>
            </w:r>
          </w:p>
        </w:tc>
      </w:tr>
    </w:tbl>
    <w:p w:rsidR="00021331" w:rsidRPr="00D113AF" w:rsidRDefault="00021331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D113AF" w:rsidTr="00C86B8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4D" w:rsidRPr="00D113AF" w:rsidRDefault="005110AD" w:rsidP="006F4AAA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Qualifications Required </w:t>
            </w:r>
          </w:p>
        </w:tc>
      </w:tr>
      <w:tr w:rsidR="00FD0E64" w:rsidRPr="00D113AF" w:rsidTr="00D1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D0E64" w:rsidRPr="00D113AF" w:rsidRDefault="00687CD1" w:rsidP="00EF74BF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566"/>
              <w:rPr>
                <w:rFonts w:asciiTheme="minorHAnsi" w:hAnsiTheme="minorHAnsi" w:cstheme="minorHAnsi"/>
              </w:rPr>
            </w:pPr>
            <w:r w:rsidRPr="00554507">
              <w:t>An undergraduate degree in a relevant subject, such as social work, youth work, psychology or nursing.</w:t>
            </w:r>
          </w:p>
        </w:tc>
      </w:tr>
    </w:tbl>
    <w:p w:rsidR="005E734D" w:rsidRPr="00D113AF" w:rsidRDefault="005E734D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D113AF" w:rsidTr="00C86B86">
        <w:trPr>
          <w:cantSplit/>
          <w:trHeight w:val="3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4D" w:rsidRPr="00D113AF" w:rsidRDefault="00021331" w:rsidP="006F4AAA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Experience Required </w:t>
            </w:r>
          </w:p>
        </w:tc>
      </w:tr>
      <w:tr w:rsidR="00334609" w:rsidRPr="00D113AF" w:rsidTr="00687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8"/>
              </w:numPr>
              <w:ind w:right="566"/>
              <w:rPr>
                <w:rFonts w:cs="Arial"/>
              </w:rPr>
            </w:pPr>
            <w:r w:rsidRPr="00334609">
              <w:rPr>
                <w:rFonts w:cs="Arial"/>
              </w:rPr>
              <w:t>At least 1 year experience in a similar role.</w:t>
            </w:r>
          </w:p>
        </w:tc>
      </w:tr>
      <w:tr w:rsidR="00687CD1" w:rsidRPr="00D113AF" w:rsidTr="0006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53"/>
        </w:trPr>
        <w:tc>
          <w:tcPr>
            <w:tcW w:w="5000" w:type="pct"/>
          </w:tcPr>
          <w:p w:rsidR="00687CD1" w:rsidRPr="00687CD1" w:rsidRDefault="00687CD1" w:rsidP="00687CD1">
            <w:pPr>
              <w:pStyle w:val="ListParagraph"/>
              <w:numPr>
                <w:ilvl w:val="0"/>
                <w:numId w:val="8"/>
              </w:numPr>
              <w:ind w:right="566"/>
              <w:rPr>
                <w:rFonts w:cs="Arial"/>
              </w:rPr>
            </w:pPr>
            <w:r w:rsidRPr="00687CD1">
              <w:rPr>
                <w:rFonts w:cs="Arial"/>
              </w:rPr>
              <w:t>Experience of working to and understanding Child Protection policy, procedures and legislation.</w:t>
            </w:r>
          </w:p>
        </w:tc>
      </w:tr>
      <w:tr w:rsidR="00687CD1" w:rsidRPr="00D113AF" w:rsidTr="00687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5000" w:type="pct"/>
          </w:tcPr>
          <w:p w:rsidR="00687CD1" w:rsidRPr="00687CD1" w:rsidRDefault="00687CD1" w:rsidP="00687CD1">
            <w:pPr>
              <w:pStyle w:val="ListParagraph"/>
              <w:numPr>
                <w:ilvl w:val="0"/>
                <w:numId w:val="8"/>
              </w:numPr>
              <w:ind w:right="566"/>
              <w:rPr>
                <w:rFonts w:cs="Arial"/>
              </w:rPr>
            </w:pPr>
            <w:r w:rsidRPr="00687CD1">
              <w:rPr>
                <w:rFonts w:cs="Arial"/>
              </w:rPr>
              <w:t xml:space="preserve">Experience of working in a multi-disciplinary environment responding to the needs of </w:t>
            </w:r>
            <w:r w:rsidRPr="00687CD1">
              <w:rPr>
                <w:rFonts w:cs="Arial"/>
              </w:rPr>
              <w:lastRenderedPageBreak/>
              <w:t>young people.</w:t>
            </w:r>
          </w:p>
        </w:tc>
      </w:tr>
    </w:tbl>
    <w:p w:rsidR="005E734D" w:rsidRPr="00D113AF" w:rsidRDefault="005E734D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98"/>
      </w:tblGrid>
      <w:tr w:rsidR="005E734D" w:rsidRPr="00D113AF" w:rsidTr="00C86B86">
        <w:trPr>
          <w:trHeight w:val="45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E734D" w:rsidRPr="00D113AF" w:rsidRDefault="00021331" w:rsidP="00193431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Essential Knowledge / Skills Required 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ind w:right="1376"/>
              <w:jc w:val="both"/>
              <w:rPr>
                <w:rFonts w:cs="Arial"/>
              </w:rPr>
            </w:pPr>
            <w:r w:rsidRPr="002B5C88">
              <w:rPr>
                <w:rFonts w:cs="Arial"/>
              </w:rPr>
              <w:t>Knowledge and understanding of child development issues affecting children’s and young people’s vulnerability and resilience and parent support work.</w:t>
            </w:r>
          </w:p>
        </w:tc>
      </w:tr>
      <w:tr w:rsidR="002B5C88" w:rsidRPr="00D113AF" w:rsidTr="00193431">
        <w:trPr>
          <w:trHeight w:val="594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rFonts w:cs="Arial"/>
              </w:rPr>
              <w:t xml:space="preserve">Knowledge of statutory services and relevant children’s legislation especially child protection and safeguarding. 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rFonts w:cs="Arial"/>
              </w:rPr>
              <w:t xml:space="preserve">Knowledge of good practice, preventative measures and interventions to overcome issues within disadvantaged communities. 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rFonts w:cs="Arial"/>
              </w:rPr>
              <w:t xml:space="preserve">Ability to listen and relate to children, young people and adults in an empathetic manner, valuing their views, experience and recognise their strengths. 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rFonts w:cs="Arial"/>
              </w:rPr>
              <w:t>Ability to develop a good rapport with young people and use effective interpersonal skills.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ind w:right="1376"/>
              <w:jc w:val="both"/>
              <w:rPr>
                <w:rFonts w:cs="Arial"/>
              </w:rPr>
            </w:pPr>
            <w:r w:rsidRPr="002B5C88">
              <w:rPr>
                <w:rFonts w:cs="Arial"/>
              </w:rPr>
              <w:t>Excellent interpersonal skills particularly communication and presentation skills.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rFonts w:cs="Arial"/>
              </w:rPr>
              <w:t xml:space="preserve">Good organisational skills with a good ability to navigate the MS Office Suite. 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rFonts w:cs="Arial"/>
              </w:rPr>
              <w:t xml:space="preserve">Effective mentoring and motivational skills to encourage the young person to undertake positive actions. 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rFonts w:cs="Arial"/>
              </w:rPr>
              <w:t xml:space="preserve">Access to own car is essential. </w:t>
            </w:r>
          </w:p>
        </w:tc>
      </w:tr>
      <w:tr w:rsidR="002B5C88" w:rsidRPr="00D113AF" w:rsidTr="00D12BDE">
        <w:trPr>
          <w:trHeight w:val="293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t>Sensitive to the needs of young persons and their parents.</w:t>
            </w:r>
          </w:p>
        </w:tc>
      </w:tr>
      <w:tr w:rsidR="002B5C88" w:rsidRPr="00D113AF" w:rsidTr="00687CD1">
        <w:trPr>
          <w:trHeight w:val="488"/>
        </w:trPr>
        <w:tc>
          <w:tcPr>
            <w:tcW w:w="5000" w:type="pct"/>
          </w:tcPr>
          <w:p w:rsidR="002B5C88" w:rsidRPr="002B5C88" w:rsidRDefault="002B5C88" w:rsidP="002B5C88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2B5C88">
              <w:rPr>
                <w:shd w:val="clear" w:color="auto" w:fill="FFFFFF"/>
              </w:rPr>
              <w:t>Respect for diversity as you will be working with young people from a range of backgrounds.</w:t>
            </w:r>
          </w:p>
        </w:tc>
      </w:tr>
    </w:tbl>
    <w:p w:rsidR="00334609" w:rsidRDefault="00334609"/>
    <w:p w:rsidR="005E734D" w:rsidRDefault="005E734D">
      <w:pPr>
        <w:rPr>
          <w:rFonts w:asciiTheme="minorHAnsi" w:hAnsiTheme="minorHAnsi" w:cstheme="minorHAnsi"/>
          <w:sz w:val="22"/>
          <w:szCs w:val="22"/>
        </w:rPr>
      </w:pPr>
    </w:p>
    <w:p w:rsidR="00334609" w:rsidRPr="00D113AF" w:rsidRDefault="00334609">
      <w:pPr>
        <w:rPr>
          <w:rFonts w:asciiTheme="minorHAnsi" w:hAnsiTheme="minorHAnsi" w:cstheme="minorHAnsi"/>
          <w:sz w:val="22"/>
          <w:szCs w:val="22"/>
        </w:rPr>
      </w:pPr>
    </w:p>
    <w:sectPr w:rsidR="00334609" w:rsidRPr="00D113AF" w:rsidSect="00FD0E6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F49"/>
    <w:multiLevelType w:val="hybridMultilevel"/>
    <w:tmpl w:val="8536E5CC"/>
    <w:lvl w:ilvl="0" w:tplc="53F2D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91545"/>
    <w:multiLevelType w:val="hybridMultilevel"/>
    <w:tmpl w:val="2A24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6104"/>
    <w:multiLevelType w:val="hybridMultilevel"/>
    <w:tmpl w:val="F634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107A"/>
    <w:multiLevelType w:val="hybridMultilevel"/>
    <w:tmpl w:val="D5E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5918"/>
    <w:multiLevelType w:val="hybridMultilevel"/>
    <w:tmpl w:val="9600EBBE"/>
    <w:lvl w:ilvl="0" w:tplc="1BC25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0AC"/>
    <w:multiLevelType w:val="hybridMultilevel"/>
    <w:tmpl w:val="27EE3CA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B05DE1"/>
    <w:multiLevelType w:val="hybridMultilevel"/>
    <w:tmpl w:val="B11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51063"/>
    <w:multiLevelType w:val="hybridMultilevel"/>
    <w:tmpl w:val="6FD6DC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92775"/>
    <w:multiLevelType w:val="hybridMultilevel"/>
    <w:tmpl w:val="9BD8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C25DF"/>
    <w:multiLevelType w:val="hybridMultilevel"/>
    <w:tmpl w:val="4DFA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C46F4"/>
    <w:multiLevelType w:val="hybridMultilevel"/>
    <w:tmpl w:val="00B22EF4"/>
    <w:lvl w:ilvl="0" w:tplc="53F2D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C04DB"/>
    <w:multiLevelType w:val="hybridMultilevel"/>
    <w:tmpl w:val="F3300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BE2980"/>
    <w:multiLevelType w:val="hybridMultilevel"/>
    <w:tmpl w:val="13AA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408E"/>
    <w:multiLevelType w:val="hybridMultilevel"/>
    <w:tmpl w:val="B00405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6F2F61"/>
    <w:multiLevelType w:val="hybridMultilevel"/>
    <w:tmpl w:val="BD424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8214E7"/>
    <w:multiLevelType w:val="hybridMultilevel"/>
    <w:tmpl w:val="363C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045683"/>
    <w:multiLevelType w:val="hybridMultilevel"/>
    <w:tmpl w:val="6986C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A3294"/>
    <w:multiLevelType w:val="hybridMultilevel"/>
    <w:tmpl w:val="24AC20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9B77E0"/>
    <w:multiLevelType w:val="hybridMultilevel"/>
    <w:tmpl w:val="06CA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967E8"/>
    <w:multiLevelType w:val="hybridMultilevel"/>
    <w:tmpl w:val="15F6C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3B2C53"/>
    <w:multiLevelType w:val="hybridMultilevel"/>
    <w:tmpl w:val="6792E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6553D"/>
    <w:multiLevelType w:val="hybridMultilevel"/>
    <w:tmpl w:val="A8A2B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104B16"/>
    <w:multiLevelType w:val="hybridMultilevel"/>
    <w:tmpl w:val="A966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B046EA"/>
    <w:multiLevelType w:val="hybridMultilevel"/>
    <w:tmpl w:val="9A984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D609B"/>
    <w:multiLevelType w:val="hybridMultilevel"/>
    <w:tmpl w:val="BB6811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012E9"/>
    <w:multiLevelType w:val="hybridMultilevel"/>
    <w:tmpl w:val="328A4B90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20"/>
  </w:num>
  <w:num w:numId="6">
    <w:abstractNumId w:val="6"/>
  </w:num>
  <w:num w:numId="7">
    <w:abstractNumId w:val="4"/>
  </w:num>
  <w:num w:numId="8">
    <w:abstractNumId w:val="21"/>
  </w:num>
  <w:num w:numId="9">
    <w:abstractNumId w:val="14"/>
  </w:num>
  <w:num w:numId="10">
    <w:abstractNumId w:val="15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2"/>
  </w:num>
  <w:num w:numId="16">
    <w:abstractNumId w:val="23"/>
  </w:num>
  <w:num w:numId="17">
    <w:abstractNumId w:val="24"/>
  </w:num>
  <w:num w:numId="18">
    <w:abstractNumId w:val="3"/>
  </w:num>
  <w:num w:numId="19">
    <w:abstractNumId w:val="19"/>
  </w:num>
  <w:num w:numId="20">
    <w:abstractNumId w:val="1"/>
  </w:num>
  <w:num w:numId="21">
    <w:abstractNumId w:val="9"/>
  </w:num>
  <w:num w:numId="22">
    <w:abstractNumId w:val="7"/>
  </w:num>
  <w:num w:numId="23">
    <w:abstractNumId w:val="25"/>
  </w:num>
  <w:num w:numId="24">
    <w:abstractNumId w:val="17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F"/>
    <w:rsid w:val="00021331"/>
    <w:rsid w:val="000612EB"/>
    <w:rsid w:val="000802C5"/>
    <w:rsid w:val="000A365B"/>
    <w:rsid w:val="000B6D00"/>
    <w:rsid w:val="000C4706"/>
    <w:rsid w:val="00193431"/>
    <w:rsid w:val="001A17FA"/>
    <w:rsid w:val="001F0590"/>
    <w:rsid w:val="0020532A"/>
    <w:rsid w:val="00206BF4"/>
    <w:rsid w:val="0023482F"/>
    <w:rsid w:val="002B5C88"/>
    <w:rsid w:val="00313C5C"/>
    <w:rsid w:val="00334609"/>
    <w:rsid w:val="00350774"/>
    <w:rsid w:val="00392527"/>
    <w:rsid w:val="00402D06"/>
    <w:rsid w:val="00415FDF"/>
    <w:rsid w:val="00417133"/>
    <w:rsid w:val="004173F8"/>
    <w:rsid w:val="004452C5"/>
    <w:rsid w:val="005110AD"/>
    <w:rsid w:val="00533512"/>
    <w:rsid w:val="005A09F6"/>
    <w:rsid w:val="005C4AFD"/>
    <w:rsid w:val="005E734D"/>
    <w:rsid w:val="00630886"/>
    <w:rsid w:val="006734CC"/>
    <w:rsid w:val="00687CD1"/>
    <w:rsid w:val="006E3E06"/>
    <w:rsid w:val="006F4AAA"/>
    <w:rsid w:val="007613D9"/>
    <w:rsid w:val="007D38DB"/>
    <w:rsid w:val="00861347"/>
    <w:rsid w:val="008F6490"/>
    <w:rsid w:val="009D12CA"/>
    <w:rsid w:val="00A064BF"/>
    <w:rsid w:val="00A456F9"/>
    <w:rsid w:val="00A7475B"/>
    <w:rsid w:val="00AA7449"/>
    <w:rsid w:val="00B15020"/>
    <w:rsid w:val="00B509F2"/>
    <w:rsid w:val="00B745A9"/>
    <w:rsid w:val="00BA6299"/>
    <w:rsid w:val="00BD078C"/>
    <w:rsid w:val="00C07AA6"/>
    <w:rsid w:val="00C776FA"/>
    <w:rsid w:val="00C86B86"/>
    <w:rsid w:val="00CA6E24"/>
    <w:rsid w:val="00CB12B8"/>
    <w:rsid w:val="00D0698B"/>
    <w:rsid w:val="00D113AF"/>
    <w:rsid w:val="00D12BDE"/>
    <w:rsid w:val="00DE68D4"/>
    <w:rsid w:val="00E21E45"/>
    <w:rsid w:val="00E63287"/>
    <w:rsid w:val="00E946B3"/>
    <w:rsid w:val="00E95F38"/>
    <w:rsid w:val="00EF74BF"/>
    <w:rsid w:val="00FC7179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34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34D"/>
    <w:rPr>
      <w:rFonts w:ascii="Arial" w:eastAsia="Times New Roman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5E734D"/>
    <w:pPr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5E734D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5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34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34D"/>
    <w:rPr>
      <w:rFonts w:ascii="Arial" w:eastAsia="Times New Roman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5E734D"/>
    <w:pPr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5E734D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5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206F-33A3-4C19-87B3-D786DEE4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Boylesports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Poucher</dc:creator>
  <cp:lastModifiedBy>Ruth Murphy</cp:lastModifiedBy>
  <cp:revision>3</cp:revision>
  <dcterms:created xsi:type="dcterms:W3CDTF">2018-06-07T14:07:00Z</dcterms:created>
  <dcterms:modified xsi:type="dcterms:W3CDTF">2018-06-11T11:49:00Z</dcterms:modified>
</cp:coreProperties>
</file>