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6" w:rsidRPr="00C776FA" w:rsidRDefault="00E54D65" w:rsidP="00E54D65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7376BE2" wp14:editId="74326FC0">
            <wp:extent cx="1479550" cy="952500"/>
            <wp:effectExtent l="0" t="0" r="6350" b="0"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19004" r="5108" b="23012"/>
                    <a:stretch/>
                  </pic:blipFill>
                  <pic:spPr>
                    <a:xfrm>
                      <a:off x="0" y="0"/>
                      <a:ext cx="1480152" cy="95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C776FA" w:rsidTr="00C86B86">
        <w:trPr>
          <w:cantSplit/>
        </w:trPr>
        <w:tc>
          <w:tcPr>
            <w:tcW w:w="5000" w:type="pct"/>
            <w:shd w:val="clear" w:color="auto" w:fill="auto"/>
          </w:tcPr>
          <w:p w:rsidR="00FD0E64" w:rsidRDefault="00FD0E64" w:rsidP="009D3C80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  <w:p w:rsidR="005E734D" w:rsidRPr="00C776FA" w:rsidRDefault="005E734D" w:rsidP="009D3C80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C776FA">
              <w:rPr>
                <w:rFonts w:asciiTheme="minorHAnsi" w:hAnsiTheme="minorHAnsi" w:cstheme="minorHAnsi"/>
                <w:bCs/>
                <w:sz w:val="24"/>
                <w:u w:val="single"/>
              </w:rPr>
              <w:t>JOB DESCRIPTION</w:t>
            </w:r>
          </w:p>
          <w:p w:rsidR="00021331" w:rsidRPr="00C776FA" w:rsidRDefault="00021331" w:rsidP="009D3C80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</w:tr>
    </w:tbl>
    <w:p w:rsidR="005E734D" w:rsidRPr="00C776FA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42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1"/>
        <w:gridCol w:w="3103"/>
        <w:gridCol w:w="1585"/>
        <w:gridCol w:w="3036"/>
      </w:tblGrid>
      <w:tr w:rsidR="005E734D" w:rsidRPr="00D113AF" w:rsidTr="005110AD">
        <w:tc>
          <w:tcPr>
            <w:tcW w:w="772" w:type="pct"/>
            <w:tcBorders>
              <w:right w:val="single" w:sz="4" w:space="0" w:color="auto"/>
            </w:tcBorders>
          </w:tcPr>
          <w:p w:rsidR="005E734D" w:rsidRPr="00D113AF" w:rsidRDefault="005E734D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Support Assistant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9D3C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Reports To: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9D3C80" w:rsidRDefault="009D3C80" w:rsidP="00C0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C80">
              <w:rPr>
                <w:rFonts w:asciiTheme="minorHAnsi" w:hAnsiTheme="minorHAnsi" w:cstheme="minorHAnsi"/>
                <w:sz w:val="22"/>
                <w:szCs w:val="22"/>
              </w:rPr>
              <w:t>DSS Co-ordinator</w:t>
            </w:r>
          </w:p>
        </w:tc>
      </w:tr>
    </w:tbl>
    <w:p w:rsidR="005E734D" w:rsidRPr="00D113AF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3102"/>
        <w:gridCol w:w="1584"/>
        <w:gridCol w:w="3037"/>
      </w:tblGrid>
      <w:tr w:rsidR="005E734D" w:rsidRPr="00D113AF" w:rsidTr="009D3C80"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Programme 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Disability Support Services</w:t>
            </w:r>
          </w:p>
          <w:p w:rsidR="00206BF4" w:rsidRPr="00D113AF" w:rsidRDefault="00206BF4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9D3C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throughout NI</w:t>
            </w:r>
          </w:p>
        </w:tc>
      </w:tr>
    </w:tbl>
    <w:p w:rsidR="005E734D" w:rsidRPr="00D113AF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p w:rsidR="00021331" w:rsidRPr="00D113AF" w:rsidRDefault="00021331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5E734D" w:rsidRPr="00D113AF" w:rsidTr="00FD0E64">
        <w:trPr>
          <w:trHeight w:val="1086"/>
        </w:trPr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Purpose: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5" w:rsidRPr="00490B6D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  <w:r w:rsidRPr="00490B6D">
              <w:rPr>
                <w:rFonts w:ascii="Calibri" w:hAnsi="Calibri" w:cs="Calibri"/>
                <w:sz w:val="22"/>
                <w:szCs w:val="22"/>
              </w:rPr>
              <w:t xml:space="preserve">To provide a support service to young people who require support whilst participating </w:t>
            </w:r>
            <w:r w:rsidR="00776FAE">
              <w:rPr>
                <w:rFonts w:ascii="Calibri" w:hAnsi="Calibri" w:cs="Calibri"/>
                <w:sz w:val="22"/>
                <w:szCs w:val="22"/>
              </w:rPr>
              <w:t xml:space="preserve">on the Training for Success 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or Apprenticeships NI Programme as agreed with the Disability Support Services </w:t>
            </w:r>
            <w:r>
              <w:rPr>
                <w:rFonts w:ascii="Calibri" w:hAnsi="Calibri" w:cs="Calibri"/>
                <w:sz w:val="22"/>
                <w:szCs w:val="22"/>
              </w:rPr>
              <w:t>Co-ordinator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452C5" w:rsidRPr="00490B6D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2C5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  <w:r w:rsidRPr="00490B6D">
              <w:rPr>
                <w:rFonts w:ascii="Calibri" w:hAnsi="Calibri" w:cs="Calibri"/>
                <w:sz w:val="22"/>
                <w:szCs w:val="22"/>
              </w:rPr>
              <w:t>If the role involves supporting the young person to achieve an Essential Skills (numeracy, literacy, ICT) qualification a supplementary sheet of duties will be provided. To carry out administrative duties required.</w:t>
            </w:r>
          </w:p>
          <w:p w:rsidR="004452C5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D06" w:rsidRPr="00FD0E64" w:rsidRDefault="004452C5" w:rsidP="00445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54B58">
              <w:rPr>
                <w:rFonts w:ascii="Calibri" w:hAnsi="Calibri"/>
                <w:sz w:val="22"/>
                <w:szCs w:val="22"/>
              </w:rPr>
              <w:t>This role may involve the post holder to work outside normal working hours to include weekends and evenings.</w:t>
            </w:r>
          </w:p>
        </w:tc>
      </w:tr>
    </w:tbl>
    <w:p w:rsidR="005E734D" w:rsidRPr="00D113AF" w:rsidRDefault="005E734D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40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Working Relationships: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9D3C80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Reports to DSS Co-ordinator</w:t>
            </w:r>
          </w:p>
          <w:p w:rsidR="00A064BF" w:rsidRPr="00D113AF" w:rsidRDefault="00A064BF" w:rsidP="0044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>Works closely with participants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52D" w:rsidRPr="00AA7449">
              <w:rPr>
                <w:rFonts w:asciiTheme="minorHAnsi" w:hAnsiTheme="minorHAnsi" w:cstheme="minorHAnsi"/>
                <w:sz w:val="22"/>
                <w:szCs w:val="22"/>
              </w:rPr>
              <w:t>staff,</w:t>
            </w:r>
            <w:r w:rsidR="00BF552D">
              <w:rPr>
                <w:rFonts w:asciiTheme="minorHAnsi" w:hAnsiTheme="minorHAnsi" w:cstheme="minorHAnsi"/>
                <w:sz w:val="22"/>
                <w:szCs w:val="22"/>
              </w:rPr>
              <w:t xml:space="preserve"> training organisations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 xml:space="preserve"> support agencies and key stakeholders</w:t>
            </w:r>
          </w:p>
        </w:tc>
      </w:tr>
    </w:tbl>
    <w:p w:rsidR="00021331" w:rsidRPr="00D113AF" w:rsidRDefault="00021331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32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Hours of Work: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9D3C80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</w:tr>
    </w:tbl>
    <w:p w:rsidR="00D0698B" w:rsidRPr="00D113AF" w:rsidRDefault="00D0698B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4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Holidays: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0612EB" w:rsidRDefault="009D3C80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(depending on support hours)</w:t>
            </w:r>
          </w:p>
        </w:tc>
      </w:tr>
    </w:tbl>
    <w:tbl>
      <w:tblPr>
        <w:tblpPr w:leftFromText="180" w:rightFromText="180" w:vertAnchor="text" w:tblpY="119"/>
        <w:tblW w:w="0" w:type="auto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A064BF" w:rsidRPr="00D113AF" w:rsidTr="00A064B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F" w:rsidRPr="00D113AF" w:rsidRDefault="00A064BF" w:rsidP="00BA6299">
            <w:pPr>
              <w:pStyle w:val="Heading1"/>
              <w:jc w:val="left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bCs/>
                <w:szCs w:val="22"/>
                <w:u w:val="single"/>
              </w:rPr>
              <w:t xml:space="preserve">Key Job Duties </w:t>
            </w:r>
          </w:p>
        </w:tc>
      </w:tr>
      <w:tr w:rsidR="004452C5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776FAE" w:rsidP="00776FAE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A40752">
              <w:rPr>
                <w:rFonts w:cs="Calibri"/>
              </w:rPr>
              <w:t>Provide specialist support, tailored to suit</w:t>
            </w:r>
            <w:r w:rsidR="008C238B" w:rsidRPr="00A40752">
              <w:rPr>
                <w:rFonts w:cs="Calibri"/>
              </w:rPr>
              <w:t xml:space="preserve"> the young persons’ needs,</w:t>
            </w:r>
            <w:r w:rsidRPr="00A40752">
              <w:rPr>
                <w:rFonts w:cs="Calibri"/>
              </w:rPr>
              <w:t xml:space="preserve"> </w:t>
            </w:r>
            <w:r w:rsidR="004452C5" w:rsidRPr="00A40752">
              <w:rPr>
                <w:rFonts w:cs="Calibri"/>
              </w:rPr>
              <w:t xml:space="preserve">as agreed with the DSS </w:t>
            </w:r>
            <w:r w:rsidR="009D3C80" w:rsidRPr="00A40752">
              <w:rPr>
                <w:rFonts w:cs="Calibri"/>
              </w:rPr>
              <w:t>Co-ordinator</w:t>
            </w:r>
            <w:r w:rsidR="008C238B" w:rsidRPr="00A40752">
              <w:rPr>
                <w:rFonts w:cs="Calibri"/>
              </w:rPr>
              <w:t>.</w:t>
            </w:r>
            <w:r w:rsidR="004452C5" w:rsidRPr="00A40752">
              <w:rPr>
                <w:rFonts w:cs="Calibri"/>
              </w:rPr>
              <w:t xml:space="preserve"> </w:t>
            </w:r>
          </w:p>
        </w:tc>
      </w:tr>
      <w:tr w:rsidR="004452C5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8"/>
        </w:trPr>
        <w:tc>
          <w:tcPr>
            <w:tcW w:w="0" w:type="auto"/>
          </w:tcPr>
          <w:p w:rsidR="004452C5" w:rsidRPr="004452C5" w:rsidRDefault="004452C5" w:rsidP="004452C5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4452C5">
              <w:rPr>
                <w:rFonts w:cs="Calibri"/>
              </w:rPr>
              <w:t xml:space="preserve">Adapt all training and support materials to make them user friendly and differentiated to support the young person.  </w:t>
            </w:r>
          </w:p>
        </w:tc>
      </w:tr>
      <w:tr w:rsidR="004452C5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4452C5" w:rsidP="009D3C80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4452C5">
              <w:rPr>
                <w:rFonts w:cs="Calibri"/>
              </w:rPr>
              <w:t xml:space="preserve">Assist the DSS </w:t>
            </w:r>
            <w:r w:rsidR="009D3C80">
              <w:rPr>
                <w:rFonts w:cs="Calibri"/>
              </w:rPr>
              <w:t>Co-ordinator</w:t>
            </w:r>
            <w:r w:rsidRPr="004452C5">
              <w:rPr>
                <w:rFonts w:cs="Calibri"/>
              </w:rPr>
              <w:t xml:space="preserve"> with the monitoring and evidencing of progress against Performance Targets set. </w:t>
            </w:r>
          </w:p>
        </w:tc>
      </w:tr>
      <w:tr w:rsidR="004452C5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4452C5" w:rsidP="009D3C80">
            <w:pPr>
              <w:pStyle w:val="ListParagraph"/>
              <w:numPr>
                <w:ilvl w:val="0"/>
                <w:numId w:val="18"/>
              </w:numPr>
              <w:ind w:right="282"/>
              <w:rPr>
                <w:rFonts w:cs="Calibri"/>
              </w:rPr>
            </w:pPr>
            <w:r w:rsidRPr="004452C5">
              <w:rPr>
                <w:rFonts w:cs="Calibri"/>
              </w:rPr>
              <w:lastRenderedPageBreak/>
              <w:t xml:space="preserve">Provide monthly updates to the DSS </w:t>
            </w:r>
            <w:r w:rsidR="009D3C80">
              <w:rPr>
                <w:rFonts w:cs="Calibri"/>
              </w:rPr>
              <w:t>Co-ordinator</w:t>
            </w:r>
            <w:r w:rsidRPr="004452C5">
              <w:rPr>
                <w:rFonts w:cs="Calibri"/>
              </w:rPr>
              <w:t xml:space="preserve"> on the young persons’ progress. </w:t>
            </w:r>
          </w:p>
        </w:tc>
      </w:tr>
      <w:tr w:rsidR="007613D9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7613D9" w:rsidRDefault="007613D9" w:rsidP="007613D9">
            <w:pPr>
              <w:pStyle w:val="ListParagraph"/>
              <w:numPr>
                <w:ilvl w:val="0"/>
                <w:numId w:val="18"/>
              </w:numPr>
              <w:ind w:right="282"/>
              <w:rPr>
                <w:rFonts w:cs="Calibri"/>
              </w:rPr>
            </w:pPr>
            <w:r w:rsidRPr="007613D9">
              <w:rPr>
                <w:rFonts w:cs="Calibri"/>
              </w:rPr>
              <w:t>Stimulate and promote effective, learner-centred independent learning strategies for the young person to enable them to participate and hei</w:t>
            </w:r>
            <w:r>
              <w:rPr>
                <w:rFonts w:cs="Calibri"/>
              </w:rPr>
              <w:t>ghten their motivation and self-esteem</w:t>
            </w:r>
          </w:p>
          <w:p w:rsidR="007613D9" w:rsidRPr="00334609" w:rsidRDefault="009D3C80" w:rsidP="007613D9">
            <w:pPr>
              <w:pStyle w:val="ListParagraph"/>
              <w:numPr>
                <w:ilvl w:val="0"/>
                <w:numId w:val="18"/>
              </w:numPr>
              <w:ind w:right="282"/>
              <w:rPr>
                <w:rFonts w:cs="Calibri"/>
                <w:b/>
              </w:rPr>
            </w:pPr>
            <w:r w:rsidRPr="007613D9">
              <w:rPr>
                <w:rFonts w:cs="Calibri"/>
              </w:rPr>
              <w:t>Maintain a confidential and effective system for processing and maintaining all internal documentation.</w:t>
            </w:r>
          </w:p>
        </w:tc>
      </w:tr>
      <w:tr w:rsidR="007613D9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7613D9" w:rsidRPr="006753B8" w:rsidRDefault="007613D9" w:rsidP="007613D9">
            <w:pPr>
              <w:ind w:right="95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>The key job duties listed above give a broad outline of the functions of the role.  However, these duties must be approached in a flexible manner.  The job holder will be expected to adapt to changing circumstances and undertake other duties as allocated by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 xml:space="preserve">.  The outline of the job duties may change from time to time.  </w:t>
            </w:r>
          </w:p>
        </w:tc>
      </w:tr>
    </w:tbl>
    <w:p w:rsidR="00A828A4" w:rsidRDefault="00A828A4"/>
    <w:tbl>
      <w:tblPr>
        <w:tblpPr w:leftFromText="180" w:rightFromText="180" w:vertAnchor="tex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A828A4" w:rsidRPr="00D113AF" w:rsidTr="00A828A4">
        <w:trPr>
          <w:trHeight w:val="84"/>
        </w:trPr>
        <w:tc>
          <w:tcPr>
            <w:tcW w:w="0" w:type="auto"/>
          </w:tcPr>
          <w:p w:rsidR="00A828A4" w:rsidRPr="00A828A4" w:rsidRDefault="00A828A4" w:rsidP="007613D9">
            <w:pPr>
              <w:ind w:right="95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28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General Duties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arry out job duties in compliance with Clanrye Group’s policies and procedures to include equal opportunities and health and safety legislation. 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dhere to existing work practices, procedures and undertake relevant training and development activities and to respond positively to new and alternative systems.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Keep up 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to date with new resources in line with industry demand and currency ensuring participants are trained using the most up to date and current resources.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ct in compliance with all course examination, assessment and validation requirements.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774928" w:rsidRDefault="00A828A4" w:rsidP="00A828A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rPr>
                <w:rFonts w:asciiTheme="minorHAnsi" w:hAnsiTheme="minorHAnsi" w:cstheme="minorHAnsi"/>
              </w:rPr>
            </w:pPr>
            <w:r w:rsidRPr="00774928">
              <w:rPr>
                <w:rFonts w:asciiTheme="minorHAnsi" w:hAnsiTheme="minorHAnsi" w:cstheme="minorHAnsi"/>
              </w:rPr>
              <w:t xml:space="preserve">Ensure quality of provision at all times.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0802C5" w:rsidRDefault="00A828A4" w:rsidP="00A828A4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emonstrate commitment to Clanrye Group through the completion of all tasks allocated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and by attending staff and development opportunities to ensure that professional competency is maintained. </w:t>
            </w:r>
          </w:p>
        </w:tc>
      </w:tr>
    </w:tbl>
    <w:p w:rsidR="00630886" w:rsidRPr="00D113AF" w:rsidRDefault="00630886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5110AD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Qualifications Required </w:t>
            </w:r>
          </w:p>
        </w:tc>
      </w:tr>
      <w:tr w:rsidR="00FD0E64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0E64" w:rsidRPr="00D113AF" w:rsidRDefault="00FD0E64" w:rsidP="00EF74BF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G.C.S.E’s at Grade C or equivalent to include English and Maths.</w:t>
            </w:r>
          </w:p>
        </w:tc>
      </w:tr>
    </w:tbl>
    <w:p w:rsidR="00A828A4" w:rsidRPr="00D113AF" w:rsidRDefault="00A828A4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  <w:trHeight w:val="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021331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Experience Required </w:t>
            </w:r>
          </w:p>
        </w:tc>
      </w:tr>
      <w:tr w:rsidR="00334609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334609">
              <w:rPr>
                <w:rFonts w:cs="Arial"/>
              </w:rPr>
              <w:t>At least 1 year experience in a similar role.</w:t>
            </w:r>
          </w:p>
        </w:tc>
      </w:tr>
      <w:tr w:rsidR="00334609" w:rsidRPr="00D113AF" w:rsidTr="0006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53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334609">
              <w:t>Experience in planning, delivery and evaluation of learning activities for individuals and groups.</w:t>
            </w:r>
          </w:p>
        </w:tc>
      </w:tr>
      <w:tr w:rsidR="00334609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</w:pPr>
            <w:r w:rsidRPr="00334609">
              <w:t>Experience of working in an education environment.</w:t>
            </w:r>
          </w:p>
        </w:tc>
      </w:tr>
    </w:tbl>
    <w:p w:rsidR="005E734D" w:rsidRDefault="005E734D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p w:rsidR="009D3C80" w:rsidRDefault="009D3C80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p w:rsidR="009D3C80" w:rsidRPr="00D113AF" w:rsidRDefault="009D3C80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98"/>
      </w:tblGrid>
      <w:tr w:rsidR="005E734D" w:rsidRPr="00D113AF" w:rsidTr="00C86B86">
        <w:trPr>
          <w:trHeight w:val="45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E734D" w:rsidRPr="00D113AF" w:rsidRDefault="00021331" w:rsidP="00193431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 xml:space="preserve">Essential Knowledge / Skills Required 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t>Ability to actively listen and relate to children, young people and adults in an empathetic manner, valuing their views, experience and recognise their strengths.</w:t>
            </w:r>
          </w:p>
        </w:tc>
      </w:tr>
      <w:tr w:rsidR="00334609" w:rsidRPr="00D113AF" w:rsidTr="00193431">
        <w:trPr>
          <w:trHeight w:val="59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t>Ability to develop a good rapport with young people and use effective interpersonal skills.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ind w:right="1376"/>
              <w:jc w:val="both"/>
              <w:rPr>
                <w:rFonts w:cs="Arial"/>
              </w:rPr>
            </w:pPr>
            <w:r w:rsidRPr="00334609">
              <w:rPr>
                <w:rFonts w:cs="Arial"/>
              </w:rPr>
              <w:t>Excellent interpersonal skills particularly communication and presentation skills.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9D3C80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="00334609" w:rsidRPr="00334609">
              <w:rPr>
                <w:rFonts w:cs="Arial"/>
              </w:rPr>
              <w:t xml:space="preserve"> organisational skills with a good ability to navigate the MS Office Suite. 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9D3C80" w:rsidP="009D3C80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t>Excellent</w:t>
            </w:r>
            <w:r w:rsidR="00334609" w:rsidRPr="00334609">
              <w:t xml:space="preserve"> numeracy/literacy skills.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</w:pPr>
            <w:r w:rsidRPr="00334609">
              <w:rPr>
                <w:shd w:val="clear" w:color="auto" w:fill="FFFFFF"/>
              </w:rPr>
              <w:t>Respect for diversity as you will be working with young people from a range of backgrounds.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t xml:space="preserve">Access to own car is essential. </w:t>
            </w:r>
          </w:p>
        </w:tc>
      </w:tr>
    </w:tbl>
    <w:p w:rsidR="00334609" w:rsidRDefault="00334609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98"/>
      </w:tblGrid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34609">
              <w:rPr>
                <w:rFonts w:ascii="Calibri" w:hAnsi="Calibri" w:cs="Arial"/>
                <w:b/>
                <w:sz w:val="22"/>
                <w:szCs w:val="22"/>
                <w:u w:val="single"/>
              </w:rPr>
              <w:t>Desired Experience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1F7B02" w:rsidRPr="009D3C80" w:rsidRDefault="00334609" w:rsidP="00175923">
            <w:pPr>
              <w:pStyle w:val="ListParagraph"/>
              <w:numPr>
                <w:ilvl w:val="0"/>
                <w:numId w:val="21"/>
              </w:numPr>
              <w:rPr>
                <w:rFonts w:cs="Arial"/>
                <w:u w:val="single"/>
              </w:rPr>
            </w:pPr>
            <w:r w:rsidRPr="009D3C80">
              <w:rPr>
                <w:rFonts w:cs="Arial"/>
              </w:rPr>
              <w:t>Candidates with BSL (British Sign Language) &amp; with Note taking experience.</w:t>
            </w:r>
          </w:p>
        </w:tc>
      </w:tr>
    </w:tbl>
    <w:p w:rsidR="00175923" w:rsidRDefault="00175923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98"/>
      </w:tblGrid>
      <w:tr w:rsidR="00175923" w:rsidRPr="00D113AF" w:rsidTr="009D3C80">
        <w:trPr>
          <w:trHeight w:val="488"/>
        </w:trPr>
        <w:tc>
          <w:tcPr>
            <w:tcW w:w="5000" w:type="pct"/>
          </w:tcPr>
          <w:p w:rsidR="00175923" w:rsidRPr="00175923" w:rsidRDefault="00175923" w:rsidP="0017592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75923">
              <w:rPr>
                <w:rFonts w:ascii="Calibri" w:hAnsi="Calibri" w:cs="Arial"/>
                <w:b/>
                <w:sz w:val="22"/>
                <w:szCs w:val="22"/>
                <w:u w:val="single"/>
              </w:rPr>
              <w:t>Additional Requirements</w:t>
            </w:r>
          </w:p>
        </w:tc>
      </w:tr>
      <w:tr w:rsidR="00175923" w:rsidRPr="00D113AF" w:rsidTr="009D3C80">
        <w:trPr>
          <w:trHeight w:val="488"/>
        </w:trPr>
        <w:tc>
          <w:tcPr>
            <w:tcW w:w="5000" w:type="pct"/>
          </w:tcPr>
          <w:p w:rsidR="00175923" w:rsidRPr="001F7B02" w:rsidRDefault="00175923" w:rsidP="00175923">
            <w:pPr>
              <w:pStyle w:val="ListParagraph"/>
              <w:numPr>
                <w:ilvl w:val="0"/>
                <w:numId w:val="21"/>
              </w:numPr>
              <w:rPr>
                <w:rFonts w:cs="Arial"/>
                <w:u w:val="single"/>
              </w:rPr>
            </w:pPr>
            <w:r>
              <w:rPr>
                <w:rFonts w:cs="Arial"/>
              </w:rPr>
              <w:t>The ability to use reading, writing, communication, spelling and grammar strategies to improve literacy skills.</w:t>
            </w:r>
          </w:p>
          <w:p w:rsidR="00175923" w:rsidRPr="001F7B02" w:rsidRDefault="00175923" w:rsidP="00175923">
            <w:pPr>
              <w:pStyle w:val="ListParagraph"/>
              <w:numPr>
                <w:ilvl w:val="0"/>
                <w:numId w:val="21"/>
              </w:numPr>
              <w:rPr>
                <w:rFonts w:cs="Arial"/>
                <w:u w:val="single"/>
              </w:rPr>
            </w:pPr>
            <w:r>
              <w:rPr>
                <w:rFonts w:cs="Arial"/>
              </w:rPr>
              <w:t>Knowledge of the Essential Skills Numeracy, Literacy and ICT qualifications from entry level-level 2.</w:t>
            </w:r>
          </w:p>
          <w:p w:rsidR="00175923" w:rsidRPr="00175923" w:rsidRDefault="00175923" w:rsidP="00175923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Ability to use ICT as a learning tool and for record keeping.</w:t>
            </w:r>
          </w:p>
          <w:p w:rsidR="00175923" w:rsidRPr="00175923" w:rsidRDefault="00175923" w:rsidP="00175923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Training would be desirable in the following areas Safeguarding, Autism, Asperger’s, ADHD, Dyslexia or SEBD.</w:t>
            </w:r>
          </w:p>
        </w:tc>
      </w:tr>
    </w:tbl>
    <w:p w:rsidR="005E734D" w:rsidRDefault="005E734D">
      <w:pPr>
        <w:rPr>
          <w:rFonts w:asciiTheme="minorHAnsi" w:hAnsiTheme="minorHAnsi" w:cstheme="minorHAnsi"/>
          <w:sz w:val="22"/>
          <w:szCs w:val="22"/>
        </w:rPr>
      </w:pPr>
    </w:p>
    <w:p w:rsidR="00334609" w:rsidRPr="00D113AF" w:rsidRDefault="00334609">
      <w:pPr>
        <w:rPr>
          <w:rFonts w:asciiTheme="minorHAnsi" w:hAnsiTheme="minorHAnsi" w:cstheme="minorHAnsi"/>
          <w:sz w:val="22"/>
          <w:szCs w:val="22"/>
        </w:rPr>
      </w:pPr>
    </w:p>
    <w:sectPr w:rsidR="00334609" w:rsidRPr="00D113AF" w:rsidSect="00FD0E6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49"/>
    <w:multiLevelType w:val="hybridMultilevel"/>
    <w:tmpl w:val="8536E5CC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1545"/>
    <w:multiLevelType w:val="hybridMultilevel"/>
    <w:tmpl w:val="2A24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104"/>
    <w:multiLevelType w:val="hybridMultilevel"/>
    <w:tmpl w:val="F634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107A"/>
    <w:multiLevelType w:val="hybridMultilevel"/>
    <w:tmpl w:val="D5E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5918"/>
    <w:multiLevelType w:val="hybridMultilevel"/>
    <w:tmpl w:val="9600EBBE"/>
    <w:lvl w:ilvl="0" w:tplc="1BC25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0AC"/>
    <w:multiLevelType w:val="hybridMultilevel"/>
    <w:tmpl w:val="27EE3C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B05DE1"/>
    <w:multiLevelType w:val="hybridMultilevel"/>
    <w:tmpl w:val="B11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92775"/>
    <w:multiLevelType w:val="hybridMultilevel"/>
    <w:tmpl w:val="9BD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25DF"/>
    <w:multiLevelType w:val="hybridMultilevel"/>
    <w:tmpl w:val="4DFA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46F4"/>
    <w:multiLevelType w:val="hybridMultilevel"/>
    <w:tmpl w:val="00B22EF4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C04DB"/>
    <w:multiLevelType w:val="hybridMultilevel"/>
    <w:tmpl w:val="F330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8408E"/>
    <w:multiLevelType w:val="hybridMultilevel"/>
    <w:tmpl w:val="B00405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F2F61"/>
    <w:multiLevelType w:val="hybridMultilevel"/>
    <w:tmpl w:val="BD42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214E7"/>
    <w:multiLevelType w:val="hybridMultilevel"/>
    <w:tmpl w:val="363C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45683"/>
    <w:multiLevelType w:val="hybridMultilevel"/>
    <w:tmpl w:val="6986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7E8"/>
    <w:multiLevelType w:val="hybridMultilevel"/>
    <w:tmpl w:val="15F6C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B2C53"/>
    <w:multiLevelType w:val="hybridMultilevel"/>
    <w:tmpl w:val="6792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6553D"/>
    <w:multiLevelType w:val="hybridMultilevel"/>
    <w:tmpl w:val="099CE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04B16"/>
    <w:multiLevelType w:val="hybridMultilevel"/>
    <w:tmpl w:val="A966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046EA"/>
    <w:multiLevelType w:val="hybridMultilevel"/>
    <w:tmpl w:val="9A984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D609B"/>
    <w:multiLevelType w:val="hybridMultilevel"/>
    <w:tmpl w:val="BB6811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1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F"/>
    <w:rsid w:val="00021331"/>
    <w:rsid w:val="000612EB"/>
    <w:rsid w:val="000802C5"/>
    <w:rsid w:val="00082CC7"/>
    <w:rsid w:val="000A365B"/>
    <w:rsid w:val="000C4706"/>
    <w:rsid w:val="00175923"/>
    <w:rsid w:val="00193431"/>
    <w:rsid w:val="001A17FA"/>
    <w:rsid w:val="001F0590"/>
    <w:rsid w:val="001F7B02"/>
    <w:rsid w:val="0020532A"/>
    <w:rsid w:val="00206BF4"/>
    <w:rsid w:val="0023482F"/>
    <w:rsid w:val="00271963"/>
    <w:rsid w:val="00313C5C"/>
    <w:rsid w:val="00334609"/>
    <w:rsid w:val="00350774"/>
    <w:rsid w:val="00392527"/>
    <w:rsid w:val="00402D06"/>
    <w:rsid w:val="00415FDF"/>
    <w:rsid w:val="00417133"/>
    <w:rsid w:val="004452C5"/>
    <w:rsid w:val="005110AD"/>
    <w:rsid w:val="00533512"/>
    <w:rsid w:val="005375EE"/>
    <w:rsid w:val="005A09F6"/>
    <w:rsid w:val="005C4AFD"/>
    <w:rsid w:val="005E734D"/>
    <w:rsid w:val="00630886"/>
    <w:rsid w:val="006734CC"/>
    <w:rsid w:val="006E3E06"/>
    <w:rsid w:val="006F4AAA"/>
    <w:rsid w:val="007613D9"/>
    <w:rsid w:val="00776FAE"/>
    <w:rsid w:val="007D38DB"/>
    <w:rsid w:val="00861347"/>
    <w:rsid w:val="008C238B"/>
    <w:rsid w:val="008F6490"/>
    <w:rsid w:val="009D12CA"/>
    <w:rsid w:val="009D3C80"/>
    <w:rsid w:val="00A064BF"/>
    <w:rsid w:val="00A40752"/>
    <w:rsid w:val="00A456F9"/>
    <w:rsid w:val="00A7475B"/>
    <w:rsid w:val="00A828A4"/>
    <w:rsid w:val="00AA7449"/>
    <w:rsid w:val="00B509F2"/>
    <w:rsid w:val="00B745A9"/>
    <w:rsid w:val="00BA6299"/>
    <w:rsid w:val="00BD078C"/>
    <w:rsid w:val="00BF552D"/>
    <w:rsid w:val="00C07AA6"/>
    <w:rsid w:val="00C776FA"/>
    <w:rsid w:val="00C86B86"/>
    <w:rsid w:val="00CA6E24"/>
    <w:rsid w:val="00CB12B8"/>
    <w:rsid w:val="00D0698B"/>
    <w:rsid w:val="00D113AF"/>
    <w:rsid w:val="00DE68D4"/>
    <w:rsid w:val="00E21E45"/>
    <w:rsid w:val="00E54D65"/>
    <w:rsid w:val="00E63287"/>
    <w:rsid w:val="00EF74BF"/>
    <w:rsid w:val="00FC7179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32F-08F9-4E2B-9324-B77EEA2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Boylesports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Poucher</dc:creator>
  <cp:lastModifiedBy>Ruth Murphy</cp:lastModifiedBy>
  <cp:revision>4</cp:revision>
  <cp:lastPrinted>2018-06-08T08:54:00Z</cp:lastPrinted>
  <dcterms:created xsi:type="dcterms:W3CDTF">2018-06-08T08:55:00Z</dcterms:created>
  <dcterms:modified xsi:type="dcterms:W3CDTF">2018-06-11T11:50:00Z</dcterms:modified>
</cp:coreProperties>
</file>