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CF" w:rsidRDefault="003E30CF" w:rsidP="003A52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 </w:t>
      </w:r>
      <w:r w:rsidR="003A525F">
        <w:rPr>
          <w:rFonts w:ascii="Arial" w:hAnsi="Arial" w:cs="Arial"/>
          <w:b/>
          <w:bCs/>
          <w:sz w:val="28"/>
          <w:szCs w:val="28"/>
        </w:rPr>
        <w:t xml:space="preserve">Belfast South </w:t>
      </w:r>
      <w:r w:rsidR="003A525F" w:rsidRPr="00FB3121">
        <w:rPr>
          <w:rFonts w:ascii="Arial" w:hAnsi="Arial" w:cs="Arial"/>
          <w:b/>
          <w:bCs/>
          <w:sz w:val="28"/>
          <w:szCs w:val="28"/>
        </w:rPr>
        <w:t xml:space="preserve">SIF </w:t>
      </w:r>
      <w:r w:rsidR="003A525F">
        <w:rPr>
          <w:rFonts w:ascii="Arial" w:hAnsi="Arial" w:cs="Arial"/>
          <w:b/>
          <w:bCs/>
          <w:sz w:val="28"/>
          <w:szCs w:val="28"/>
        </w:rPr>
        <w:t xml:space="preserve">Early Intervention (BSEI) </w:t>
      </w:r>
      <w:r w:rsidR="003A525F" w:rsidRPr="00FB3121">
        <w:rPr>
          <w:rFonts w:ascii="Arial" w:hAnsi="Arial" w:cs="Arial"/>
          <w:b/>
          <w:bCs/>
          <w:sz w:val="28"/>
          <w:szCs w:val="28"/>
        </w:rPr>
        <w:t xml:space="preserve">Project </w:t>
      </w:r>
    </w:p>
    <w:p w:rsidR="003A525F" w:rsidRPr="003A525F" w:rsidRDefault="003A525F" w:rsidP="003A52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0CF" w:rsidRP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b/>
          <w:color w:val="333333"/>
          <w:sz w:val="24"/>
          <w:szCs w:val="24"/>
          <w:lang w:val="en" w:eastAsia="en-GB"/>
        </w:rPr>
      </w:pPr>
      <w:r w:rsidRPr="003E30CF">
        <w:rPr>
          <w:rFonts w:ascii="Arial" w:hAnsi="Arial" w:cs="Arial"/>
          <w:b/>
          <w:bCs/>
          <w:i/>
          <w:iCs/>
          <w:color w:val="333333"/>
          <w:sz w:val="24"/>
          <w:szCs w:val="24"/>
          <w:lang w:val="en" w:eastAsia="en-GB"/>
        </w:rPr>
        <w:t> </w:t>
      </w:r>
      <w:r w:rsidRPr="003E30CF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Role Profile:</w:t>
      </w:r>
    </w:p>
    <w:p w:rsidR="003E30CF" w:rsidRP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Job Title:</w:t>
      </w: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ab/>
      </w:r>
      <w:r w:rsidR="00191010">
        <w:rPr>
          <w:rFonts w:ascii="Arial" w:hAnsi="Arial" w:cs="Arial"/>
          <w:color w:val="333333"/>
          <w:sz w:val="24"/>
          <w:szCs w:val="24"/>
          <w:lang w:val="en" w:eastAsia="en-GB"/>
        </w:rPr>
        <w:t>Transitions Project Worker</w:t>
      </w:r>
    </w:p>
    <w:p w:rsidR="003E30CF" w:rsidRP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Accountable To:</w:t>
      </w: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ab/>
      </w: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Manager of BSCR</w:t>
      </w:r>
    </w:p>
    <w:p w:rsidR="003E30CF" w:rsidRP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 Location:</w:t>
      </w: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ab/>
      </w: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Belfast South Community Resources, 127-145 Sandy Row BT125ET</w:t>
      </w:r>
    </w:p>
    <w:p w:rsidR="003E30CF" w:rsidRP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 Salary:</w:t>
      </w: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ab/>
      </w:r>
      <w:r w:rsidR="00191010"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£</w:t>
      </w:r>
      <w:r w:rsidR="0076319B">
        <w:rPr>
          <w:rFonts w:ascii="Arial" w:hAnsi="Arial" w:cs="Arial"/>
          <w:color w:val="333333"/>
          <w:sz w:val="24"/>
          <w:szCs w:val="24"/>
          <w:lang w:val="en" w:eastAsia="en-GB"/>
        </w:rPr>
        <w:t>21450</w:t>
      </w:r>
      <w:r w:rsidR="00191010"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</w:t>
      </w:r>
      <w:r w:rsidR="0076319B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pro </w:t>
      </w:r>
      <w:proofErr w:type="spellStart"/>
      <w:r w:rsidR="0076319B">
        <w:rPr>
          <w:rFonts w:ascii="Arial" w:hAnsi="Arial" w:cs="Arial"/>
          <w:color w:val="333333"/>
          <w:sz w:val="24"/>
          <w:szCs w:val="24"/>
          <w:lang w:val="en" w:eastAsia="en-GB"/>
        </w:rPr>
        <w:t>rota</w:t>
      </w:r>
      <w:proofErr w:type="spellEnd"/>
      <w:r w:rsidR="00191010"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</w:t>
      </w:r>
      <w:r w:rsidR="00191010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20 </w:t>
      </w:r>
      <w:proofErr w:type="spellStart"/>
      <w:r w:rsidR="00191010">
        <w:rPr>
          <w:rFonts w:ascii="Arial" w:hAnsi="Arial" w:cs="Arial"/>
          <w:color w:val="333333"/>
          <w:sz w:val="24"/>
          <w:szCs w:val="24"/>
          <w:lang w:val="en" w:eastAsia="en-GB"/>
        </w:rPr>
        <w:t>hrs</w:t>
      </w:r>
      <w:proofErr w:type="spellEnd"/>
      <w:r w:rsidR="00191010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pw</w:t>
      </w:r>
    </w:p>
    <w:p w:rsidR="003E30CF" w:rsidRP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3E30CF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 xml:space="preserve">Hours of Work:      </w:t>
      </w:r>
      <w:r w:rsidR="00191010">
        <w:rPr>
          <w:rFonts w:ascii="Arial" w:hAnsi="Arial" w:cs="Arial"/>
          <w:color w:val="333333"/>
          <w:sz w:val="24"/>
          <w:szCs w:val="24"/>
          <w:lang w:val="en" w:eastAsia="en-GB"/>
        </w:rPr>
        <w:t>20 hours per week, contract</w:t>
      </w:r>
      <w:r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</w:t>
      </w:r>
      <w:r w:rsidR="003A525F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until 31 Aug 2019        </w:t>
      </w:r>
      <w:r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                     </w:t>
      </w:r>
      <w:r w:rsidRPr="003E30CF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 xml:space="preserve">Leave:                    </w:t>
      </w: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Holiday entitlement will be calculated on a pro-rata basis      </w:t>
      </w:r>
    </w:p>
    <w:p w:rsidR="003E30CF" w:rsidRP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 </w:t>
      </w:r>
    </w:p>
    <w:p w:rsidR="003E30CF" w:rsidRP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 </w:t>
      </w:r>
      <w:r w:rsidRPr="003E30CF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Accountability</w:t>
      </w:r>
      <w:r w:rsidRPr="003E30CF">
        <w:rPr>
          <w:rFonts w:ascii="Arial" w:hAnsi="Arial" w:cs="Arial"/>
          <w:i/>
          <w:iCs/>
          <w:color w:val="333333"/>
          <w:sz w:val="24"/>
          <w:szCs w:val="24"/>
          <w:lang w:val="en" w:eastAsia="en-GB"/>
        </w:rPr>
        <w:t>:</w:t>
      </w:r>
      <w:r w:rsidRPr="003E30CF">
        <w:rPr>
          <w:rFonts w:ascii="Arial" w:hAnsi="Arial" w:cs="Arial"/>
          <w:b/>
          <w:bCs/>
          <w:i/>
          <w:iCs/>
          <w:color w:val="333333"/>
          <w:sz w:val="24"/>
          <w:szCs w:val="24"/>
          <w:lang w:val="en" w:eastAsia="en-GB"/>
        </w:rPr>
        <w:t xml:space="preserve">  </w:t>
      </w:r>
    </w:p>
    <w:p w:rsidR="003E30CF" w:rsidRP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The post-holder reports directly to the Education &amp; Youth Coordinator, who will then update the Management team of BSCR on a regular basis.  </w:t>
      </w:r>
    </w:p>
    <w:p w:rsidR="003E30CF" w:rsidRP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3E30CF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 xml:space="preserve">Overall responsibility:  </w:t>
      </w:r>
    </w:p>
    <w:p w:rsidR="00384DD3" w:rsidRDefault="003E30CF" w:rsidP="003E30CF">
      <w:pPr>
        <w:shd w:val="clear" w:color="auto" w:fill="FFFFFF"/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The </w:t>
      </w:r>
      <w:r w:rsidR="00191010">
        <w:rPr>
          <w:rFonts w:ascii="Arial" w:hAnsi="Arial" w:cs="Arial"/>
          <w:color w:val="333333"/>
          <w:sz w:val="24"/>
          <w:szCs w:val="24"/>
          <w:lang w:val="en" w:eastAsia="en-GB"/>
        </w:rPr>
        <w:t>successful candidate will support the Transitions Project C</w:t>
      </w: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o-</w:t>
      </w:r>
      <w:proofErr w:type="spellStart"/>
      <w:r w:rsidR="00191010">
        <w:rPr>
          <w:rFonts w:ascii="Arial" w:hAnsi="Arial" w:cs="Arial"/>
          <w:color w:val="333333"/>
          <w:sz w:val="24"/>
          <w:szCs w:val="24"/>
          <w:lang w:val="en" w:eastAsia="en-GB"/>
        </w:rPr>
        <w:t>ordinator</w:t>
      </w:r>
      <w:proofErr w:type="spellEnd"/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</w:t>
      </w:r>
      <w:r w:rsidR="0076319B">
        <w:rPr>
          <w:rFonts w:ascii="Arial" w:hAnsi="Arial" w:cs="Arial"/>
          <w:color w:val="333333"/>
          <w:sz w:val="24"/>
          <w:szCs w:val="24"/>
          <w:lang w:val="en" w:eastAsia="en-GB"/>
        </w:rPr>
        <w:t>on a</w:t>
      </w:r>
      <w:r w:rsidR="00191010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new </w:t>
      </w:r>
      <w:r w:rsidR="0076319B">
        <w:rPr>
          <w:rFonts w:ascii="Arial" w:hAnsi="Arial" w:cs="Arial"/>
          <w:color w:val="333333"/>
          <w:sz w:val="24"/>
          <w:szCs w:val="24"/>
          <w:lang w:val="en" w:eastAsia="en-GB"/>
        </w:rPr>
        <w:t>initiative -</w:t>
      </w:r>
      <w:r w:rsidR="00191010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Big Step &amp; 7 UP Transiti</w:t>
      </w:r>
      <w:r w:rsidR="009D7E41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ons Programme, </w:t>
      </w:r>
      <w:r w:rsidR="00F964B2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designed to support children and their parents </w:t>
      </w:r>
      <w:r w:rsidR="00F964B2">
        <w:rPr>
          <w:rFonts w:ascii="Arial" w:eastAsia="Arial" w:hAnsi="Arial" w:cs="Arial"/>
          <w:sz w:val="24"/>
          <w:szCs w:val="24"/>
        </w:rPr>
        <w:t>impacted by t</w:t>
      </w:r>
      <w:r w:rsidR="00F964B2" w:rsidRPr="00447379">
        <w:rPr>
          <w:rFonts w:ascii="Arial" w:eastAsia="Arial" w:hAnsi="Arial" w:cs="Arial"/>
          <w:sz w:val="24"/>
          <w:szCs w:val="24"/>
        </w:rPr>
        <w:t>ransition</w:t>
      </w:r>
      <w:r w:rsidR="00F964B2">
        <w:rPr>
          <w:rFonts w:ascii="Arial" w:eastAsia="Arial" w:hAnsi="Arial" w:cs="Arial"/>
          <w:sz w:val="24"/>
          <w:szCs w:val="24"/>
        </w:rPr>
        <w:t xml:space="preserve"> from nursery to primary and primary to post primary school</w:t>
      </w:r>
      <w:r w:rsidR="00F964B2" w:rsidRPr="00447379">
        <w:rPr>
          <w:rFonts w:ascii="Arial" w:eastAsia="Arial" w:hAnsi="Arial" w:cs="Arial"/>
          <w:sz w:val="24"/>
          <w:szCs w:val="24"/>
        </w:rPr>
        <w:t>,</w:t>
      </w:r>
      <w:r w:rsidR="00F964B2">
        <w:rPr>
          <w:rFonts w:ascii="Arial" w:eastAsia="Arial" w:hAnsi="Arial" w:cs="Arial"/>
          <w:sz w:val="24"/>
          <w:szCs w:val="24"/>
        </w:rPr>
        <w:t xml:space="preserve"> </w:t>
      </w:r>
    </w:p>
    <w:p w:rsidR="003A525F" w:rsidRDefault="003A525F" w:rsidP="003E30CF">
      <w:pPr>
        <w:shd w:val="clear" w:color="auto" w:fill="FFFFFF"/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</w:p>
    <w:p w:rsidR="003A525F" w:rsidRDefault="003A525F" w:rsidP="003E30CF">
      <w:pPr>
        <w:shd w:val="clear" w:color="auto" w:fill="FFFFFF"/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</w:p>
    <w:p w:rsidR="003A525F" w:rsidRDefault="003A525F" w:rsidP="003E30CF">
      <w:pPr>
        <w:shd w:val="clear" w:color="auto" w:fill="FFFFFF"/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</w:p>
    <w:p w:rsidR="009D7E41" w:rsidRPr="00384DD3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3E30CF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lastRenderedPageBreak/>
        <w:t>Main Duties:</w:t>
      </w:r>
    </w:p>
    <w:p w:rsidR="009D7E41" w:rsidRDefault="009D7E41" w:rsidP="00B54F8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To assist the Project Transitions co-ordinator in developing, </w:t>
      </w:r>
      <w:r w:rsidR="00B54F81">
        <w:rPr>
          <w:rFonts w:ascii="Arial" w:eastAsiaTheme="minorEastAsia" w:hAnsi="Arial" w:cs="Arial"/>
          <w:sz w:val="24"/>
          <w:szCs w:val="24"/>
        </w:rPr>
        <w:t xml:space="preserve">implementing, </w:t>
      </w:r>
      <w:r>
        <w:rPr>
          <w:rFonts w:ascii="Arial" w:eastAsiaTheme="minorEastAsia" w:hAnsi="Arial" w:cs="Arial"/>
          <w:sz w:val="24"/>
          <w:szCs w:val="24"/>
        </w:rPr>
        <w:t>reviewing and evaluating the project.</w:t>
      </w:r>
    </w:p>
    <w:p w:rsidR="009D7E41" w:rsidRDefault="00B54F81" w:rsidP="00B54F8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To engage and build relationships with local nursery, primary and p</w:t>
      </w:r>
      <w:r w:rsidR="009D7E41">
        <w:rPr>
          <w:rFonts w:ascii="Arial" w:eastAsiaTheme="minorEastAsia" w:hAnsi="Arial" w:cs="Arial"/>
          <w:sz w:val="24"/>
          <w:szCs w:val="24"/>
        </w:rPr>
        <w:t>ost primary schools within the south Belfast SIF zone area</w:t>
      </w:r>
    </w:p>
    <w:p w:rsidR="009D7E41" w:rsidRDefault="00B54F81" w:rsidP="00B54F8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To </w:t>
      </w:r>
      <w:r w:rsidR="009D7E41">
        <w:rPr>
          <w:rFonts w:ascii="Arial" w:eastAsiaTheme="minorEastAsia" w:hAnsi="Arial" w:cs="Arial"/>
          <w:sz w:val="24"/>
          <w:szCs w:val="24"/>
        </w:rPr>
        <w:t>Deliver Transition programme to pupils in P</w:t>
      </w:r>
      <w:r>
        <w:rPr>
          <w:rFonts w:ascii="Arial" w:eastAsiaTheme="minorEastAsia" w:hAnsi="Arial" w:cs="Arial"/>
          <w:sz w:val="24"/>
          <w:szCs w:val="24"/>
        </w:rPr>
        <w:t xml:space="preserve">rimary </w:t>
      </w:r>
      <w:r w:rsidR="009D7E41">
        <w:rPr>
          <w:rFonts w:ascii="Arial" w:eastAsiaTheme="minorEastAsia" w:hAnsi="Arial" w:cs="Arial"/>
          <w:sz w:val="24"/>
          <w:szCs w:val="24"/>
        </w:rPr>
        <w:t>7</w:t>
      </w:r>
      <w:r>
        <w:rPr>
          <w:rFonts w:ascii="Arial" w:eastAsiaTheme="minorEastAsia" w:hAnsi="Arial" w:cs="Arial"/>
          <w:sz w:val="24"/>
          <w:szCs w:val="24"/>
        </w:rPr>
        <w:t xml:space="preserve"> transitioning to year 8</w:t>
      </w:r>
      <w:r w:rsidR="002B750F">
        <w:rPr>
          <w:rFonts w:ascii="Arial" w:eastAsiaTheme="minorEastAsia" w:hAnsi="Arial" w:cs="Arial"/>
          <w:sz w:val="24"/>
          <w:szCs w:val="24"/>
        </w:rPr>
        <w:t xml:space="preserve"> in a range of venues throughout the South Belfast SIF Zone Area</w:t>
      </w:r>
    </w:p>
    <w:p w:rsidR="009D7E41" w:rsidRDefault="009D7E41" w:rsidP="00B54F8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To engage with and support participants who have transitioned to year 8</w:t>
      </w:r>
    </w:p>
    <w:p w:rsidR="009D7E41" w:rsidRDefault="00B54F81" w:rsidP="00B54F8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To Deliver</w:t>
      </w:r>
      <w:r w:rsidR="009D7E4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workshops and support parents of children who are making the transition from nursery to primary and</w:t>
      </w:r>
      <w:r w:rsidR="002B750F">
        <w:rPr>
          <w:rFonts w:ascii="Arial" w:eastAsiaTheme="minorEastAsia" w:hAnsi="Arial" w:cs="Arial"/>
          <w:sz w:val="24"/>
          <w:szCs w:val="24"/>
        </w:rPr>
        <w:t xml:space="preserve"> primary to post primary school in a range of venues within the South Belfast SIF Zone Area</w:t>
      </w:r>
    </w:p>
    <w:p w:rsidR="00945DB2" w:rsidRDefault="00945DB2" w:rsidP="00B54F8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To show good communication skills with teaching staff, SENCO, principal of participating schools and provide updates as and when required</w:t>
      </w:r>
    </w:p>
    <w:p w:rsidR="003759DB" w:rsidRDefault="003759DB" w:rsidP="00B54F8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To refer participants into other strands of the Belfast South Early Intervention Programme where necessary</w:t>
      </w:r>
    </w:p>
    <w:p w:rsidR="00B54F81" w:rsidRPr="00B54F81" w:rsidRDefault="00B54F81" w:rsidP="00B54F8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To engage with parents of children involved with the project to ensure t</w:t>
      </w:r>
      <w:r>
        <w:rPr>
          <w:rFonts w:ascii="Arial" w:hAnsi="Arial" w:cs="Arial"/>
          <w:color w:val="333333"/>
          <w:sz w:val="24"/>
          <w:szCs w:val="24"/>
          <w:lang w:val="en" w:eastAsia="en-GB"/>
        </w:rPr>
        <w:t>heir involvement and support. </w:t>
      </w:r>
    </w:p>
    <w:p w:rsidR="003759DB" w:rsidRPr="003759DB" w:rsidRDefault="00B54F81" w:rsidP="00B54F8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E30CF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 xml:space="preserve"> </w:t>
      </w: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Liaise with other departments at BSCR to ensure that the </w:t>
      </w:r>
      <w:proofErr w:type="spellStart"/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prog</w:t>
      </w:r>
      <w:r>
        <w:rPr>
          <w:rFonts w:ascii="Arial" w:hAnsi="Arial" w:cs="Arial"/>
          <w:color w:val="333333"/>
          <w:sz w:val="24"/>
          <w:szCs w:val="24"/>
          <w:lang w:val="en" w:eastAsia="en-GB"/>
        </w:rPr>
        <w:t>ramme</w:t>
      </w:r>
      <w:proofErr w:type="spellEnd"/>
      <w:r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is adequately resourced.</w:t>
      </w:r>
    </w:p>
    <w:p w:rsidR="003759DB" w:rsidRPr="003759DB" w:rsidRDefault="003759DB" w:rsidP="00B54F8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E30CF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 xml:space="preserve"> </w:t>
      </w: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To engage in monitoring and evaluation as necessary, including the</w:t>
      </w:r>
      <w:r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completion of monthly reports.</w:t>
      </w:r>
    </w:p>
    <w:p w:rsidR="00384DD3" w:rsidRPr="00384DD3" w:rsidRDefault="003759DB" w:rsidP="00BF4ED7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</w:pP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To</w:t>
      </w:r>
      <w:r w:rsidR="007855FB"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e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nsure BSCR’s procedures are adhered to regarding: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br/>
      </w:r>
      <w:r w:rsidRPr="000932C6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 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br/>
      </w:r>
      <w:r w:rsidRPr="000932C6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 xml:space="preserve">a.    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Health &amp; Safety Regulations and Procedures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br/>
      </w:r>
      <w:r w:rsidRPr="000932C6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 xml:space="preserve">b.    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Child Protection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br/>
      </w:r>
    </w:p>
    <w:p w:rsidR="007855FB" w:rsidRPr="000932C6" w:rsidRDefault="003E30CF" w:rsidP="00384DD3">
      <w:pPr>
        <w:pStyle w:val="ListParagraph"/>
        <w:shd w:val="clear" w:color="auto" w:fill="FFFFFF"/>
        <w:spacing w:before="240" w:after="240" w:line="360" w:lineRule="auto"/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</w:pP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lastRenderedPageBreak/>
        <w:br/>
      </w:r>
      <w:r w:rsidRPr="000932C6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Additional Notes: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 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br/>
        <w:t>  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br/>
        <w:t xml:space="preserve">This position gives the post-holder access to children and/or young people, and will therefore be required to disclose details of any criminal convictions, including spent, bind-over orders and cautions, in accordance with the Access NI Vetting and Baring Scheme and our </w:t>
      </w:r>
      <w:proofErr w:type="spellStart"/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organisation’s</w:t>
      </w:r>
      <w:proofErr w:type="spellEnd"/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Children Protection Policy and Procedure.  An Access NI check will be carried out.  By applying for this position, you agree to the </w:t>
      </w:r>
      <w:proofErr w:type="spellStart"/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organisation</w:t>
      </w:r>
      <w:proofErr w:type="spellEnd"/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carrying out this necessary procedure, and agree that the update of the post is subject to successful clearance of this check.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br/>
        <w:t> 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br/>
      </w:r>
      <w:r w:rsidRPr="000932C6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Person Specification: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br/>
      </w:r>
      <w:r w:rsidRPr="000932C6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 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br/>
      </w:r>
      <w:r w:rsidRPr="000932C6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Essential Criteria</w:t>
      </w:r>
    </w:p>
    <w:p w:rsidR="007855FB" w:rsidRPr="008E0818" w:rsidRDefault="008E0818" w:rsidP="008E0818">
      <w:p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t>The successful applicant must be able to evidence the following:</w:t>
      </w:r>
    </w:p>
    <w:p w:rsidR="005F7CD9" w:rsidRDefault="007459B2" w:rsidP="008E0818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color w:val="333333"/>
          <w:sz w:val="24"/>
          <w:szCs w:val="24"/>
          <w:lang w:val="en" w:eastAsia="en-GB"/>
        </w:rPr>
      </w:pPr>
      <w:r>
        <w:rPr>
          <w:rFonts w:ascii="Arial" w:hAnsi="Arial" w:cs="Arial"/>
          <w:color w:val="333333"/>
          <w:sz w:val="24"/>
          <w:szCs w:val="24"/>
          <w:lang w:val="en" w:eastAsia="en-GB"/>
        </w:rPr>
        <w:t>NVQ/QCF level 2 in Children’s Care learning &amp; Development or equivalent</w:t>
      </w:r>
      <w:r w:rsidR="005F7CD9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or 2 </w:t>
      </w:r>
      <w:proofErr w:type="spellStart"/>
      <w:proofErr w:type="gramStart"/>
      <w:r w:rsidR="005F7CD9">
        <w:rPr>
          <w:rFonts w:ascii="Arial" w:hAnsi="Arial" w:cs="Arial"/>
          <w:color w:val="333333"/>
          <w:sz w:val="24"/>
          <w:szCs w:val="24"/>
          <w:lang w:val="en" w:eastAsia="en-GB"/>
        </w:rPr>
        <w:t>years</w:t>
      </w:r>
      <w:proofErr w:type="gramEnd"/>
      <w:r w:rsidR="005F7CD9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experience</w:t>
      </w:r>
      <w:proofErr w:type="spellEnd"/>
      <w:r w:rsidR="005F7CD9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in one or more of the following</w:t>
      </w:r>
    </w:p>
    <w:p w:rsidR="008E0818" w:rsidRPr="005F7CD9" w:rsidRDefault="005F7CD9" w:rsidP="005F7CD9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5F7CD9">
        <w:rPr>
          <w:rFonts w:ascii="Arial" w:hAnsi="Arial" w:cs="Arial"/>
          <w:color w:val="333333"/>
          <w:sz w:val="24"/>
          <w:szCs w:val="24"/>
          <w:lang w:val="en" w:eastAsia="en-GB"/>
        </w:rPr>
        <w:t>Working directly with parents</w:t>
      </w:r>
    </w:p>
    <w:p w:rsidR="005F7CD9" w:rsidRPr="005F7CD9" w:rsidRDefault="005F7CD9" w:rsidP="005F7CD9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5F7CD9">
        <w:rPr>
          <w:rFonts w:ascii="Arial" w:hAnsi="Arial" w:cs="Arial"/>
          <w:color w:val="333333"/>
          <w:sz w:val="24"/>
          <w:szCs w:val="24"/>
          <w:lang w:val="en" w:eastAsia="en-GB"/>
        </w:rPr>
        <w:t>Working in a youth setting</w:t>
      </w:r>
    </w:p>
    <w:p w:rsidR="005F7CD9" w:rsidRDefault="005F7CD9" w:rsidP="005F7CD9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5F7CD9">
        <w:rPr>
          <w:rFonts w:ascii="Arial" w:hAnsi="Arial" w:cs="Arial"/>
          <w:color w:val="333333"/>
          <w:sz w:val="24"/>
          <w:szCs w:val="24"/>
          <w:lang w:val="en" w:eastAsia="en-GB"/>
        </w:rPr>
        <w:t>Classroom assistant</w:t>
      </w:r>
    </w:p>
    <w:p w:rsidR="005F7CD9" w:rsidRPr="005F7CD9" w:rsidRDefault="005F7CD9" w:rsidP="005F7CD9">
      <w:pPr>
        <w:pStyle w:val="ListParagraph"/>
        <w:shd w:val="clear" w:color="auto" w:fill="FFFFFF"/>
        <w:ind w:left="1077"/>
        <w:rPr>
          <w:rFonts w:ascii="Arial" w:hAnsi="Arial" w:cs="Arial"/>
          <w:color w:val="333333"/>
          <w:sz w:val="24"/>
          <w:szCs w:val="24"/>
          <w:lang w:val="en" w:eastAsia="en-GB"/>
        </w:rPr>
      </w:pPr>
    </w:p>
    <w:p w:rsidR="008E0818" w:rsidRPr="008E0818" w:rsidRDefault="008E0818" w:rsidP="008E0818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t>M</w:t>
      </w:r>
      <w:r w:rsidR="005F7CD9">
        <w:rPr>
          <w:rFonts w:ascii="Arial" w:hAnsi="Arial" w:cs="Arial"/>
          <w:color w:val="333333"/>
          <w:sz w:val="24"/>
          <w:szCs w:val="24"/>
          <w:lang w:val="en" w:eastAsia="en-GB"/>
        </w:rPr>
        <w:t>ath</w:t>
      </w:r>
      <w:r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and English GCSE or equivalent at grade C or above</w:t>
      </w:r>
    </w:p>
    <w:p w:rsidR="008E0818" w:rsidRPr="0095247F" w:rsidRDefault="005F7CD9" w:rsidP="0095247F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t>Good ICT</w:t>
      </w:r>
      <w:r w:rsidR="008E0818"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skills </w:t>
      </w:r>
    </w:p>
    <w:p w:rsidR="008E0818" w:rsidRPr="008E0818" w:rsidRDefault="008E0818" w:rsidP="008E0818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High standard of written and oral communication </w:t>
      </w:r>
      <w:r w:rsidR="0095247F">
        <w:rPr>
          <w:rFonts w:ascii="Arial" w:hAnsi="Arial" w:cs="Arial"/>
          <w:color w:val="333333"/>
          <w:sz w:val="24"/>
          <w:szCs w:val="24"/>
          <w:lang w:val="en" w:eastAsia="en-GB"/>
        </w:rPr>
        <w:t>-</w:t>
      </w:r>
      <w:r w:rsidR="0095247F" w:rsidRPr="0095247F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</w:t>
      </w:r>
      <w:r w:rsidR="0095247F"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t>with staff, pupils, parents and community</w:t>
      </w:r>
    </w:p>
    <w:p w:rsidR="008E0818" w:rsidRPr="008E0818" w:rsidRDefault="008E0818" w:rsidP="008E0818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Ability to adapt to changing circumstances accepts and embraces new ideas, initiatives and change positively </w:t>
      </w:r>
    </w:p>
    <w:p w:rsidR="008E0818" w:rsidRPr="008E0818" w:rsidRDefault="008E0818" w:rsidP="008E0818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lastRenderedPageBreak/>
        <w:t xml:space="preserve">Ability to motivate, encourage and inspire confidence in pupils  </w:t>
      </w:r>
      <w:r w:rsidR="00CE7389">
        <w:rPr>
          <w:rFonts w:ascii="Arial" w:hAnsi="Arial" w:cs="Arial"/>
          <w:color w:val="333333"/>
          <w:sz w:val="24"/>
          <w:szCs w:val="24"/>
          <w:lang w:val="en" w:eastAsia="en-GB"/>
        </w:rPr>
        <w:t>and parents</w:t>
      </w:r>
    </w:p>
    <w:p w:rsidR="008E0818" w:rsidRPr="008E0818" w:rsidRDefault="008E0818" w:rsidP="008E0818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Ability to work as part of a team and to contribute to decision-making  </w:t>
      </w:r>
    </w:p>
    <w:p w:rsidR="004D014F" w:rsidRDefault="004D014F" w:rsidP="00384DD3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color w:val="333333"/>
          <w:sz w:val="24"/>
          <w:szCs w:val="24"/>
          <w:lang w:val="en" w:eastAsia="en-GB"/>
        </w:rPr>
      </w:pP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lang w:val="en" w:eastAsia="en-GB"/>
        </w:rPr>
        <w:t>Successful candidate must have own transport as travel to venues throughout the South Belfast SIF Zone is essential for delivery of Programme</w:t>
      </w:r>
    </w:p>
    <w:p w:rsidR="003E30CF" w:rsidRP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3E30CF">
        <w:rPr>
          <w:rFonts w:ascii="Arial" w:hAnsi="Arial" w:cs="Arial"/>
          <w:color w:val="333333"/>
          <w:sz w:val="24"/>
          <w:szCs w:val="24"/>
          <w:lang w:val="en" w:eastAsia="en-GB"/>
        </w:rPr>
        <w:br/>
      </w:r>
      <w:r w:rsidRPr="003E30CF"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>Desirable Criteria</w:t>
      </w:r>
    </w:p>
    <w:p w:rsidR="0095247F" w:rsidRPr="0095247F" w:rsidRDefault="0095247F" w:rsidP="0095247F">
      <w:pPr>
        <w:pStyle w:val="ListParagraph"/>
        <w:numPr>
          <w:ilvl w:val="0"/>
          <w:numId w:val="9"/>
        </w:num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95247F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Teaching </w:t>
      </w:r>
      <w:r>
        <w:rPr>
          <w:rFonts w:ascii="Arial" w:hAnsi="Arial" w:cs="Arial"/>
          <w:color w:val="333333"/>
          <w:sz w:val="24"/>
          <w:szCs w:val="24"/>
          <w:lang w:val="en" w:eastAsia="en-GB"/>
        </w:rPr>
        <w:t>certificate</w:t>
      </w:r>
      <w:r w:rsidRPr="0095247F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or equivalent</w:t>
      </w:r>
    </w:p>
    <w:p w:rsidR="003E30CF" w:rsidRPr="000932C6" w:rsidRDefault="003E30CF" w:rsidP="000932C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Experience in developing educational support </w:t>
      </w:r>
      <w:proofErr w:type="spellStart"/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programme</w:t>
      </w:r>
      <w:r w:rsidR="00CE7389">
        <w:rPr>
          <w:rFonts w:ascii="Arial" w:hAnsi="Arial" w:cs="Arial"/>
          <w:color w:val="333333"/>
          <w:sz w:val="24"/>
          <w:szCs w:val="24"/>
          <w:lang w:val="en" w:eastAsia="en-GB"/>
        </w:rPr>
        <w:t>s</w:t>
      </w:r>
      <w:proofErr w:type="spellEnd"/>
      <w:r w:rsidR="00CE7389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for children and or young people</w:t>
      </w:r>
    </w:p>
    <w:p w:rsidR="003E30CF" w:rsidRPr="000932C6" w:rsidRDefault="00710952" w:rsidP="000932C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At least</w:t>
      </w:r>
      <w:r w:rsidR="003E30CF"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two</w:t>
      </w:r>
      <w:r w:rsidR="003E30CF"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-year’s experience in </w:t>
      </w:r>
      <w:r w:rsidR="000932C6"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one or more of the following - </w:t>
      </w:r>
      <w:r w:rsidR="003E30CF"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community-based youth</w:t>
      </w:r>
      <w:r w:rsidR="00CE7389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projects</w:t>
      </w:r>
      <w:r w:rsidR="003E30CF"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, </w:t>
      </w:r>
      <w:r w:rsidR="00CE7389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classroom based work experience, </w:t>
      </w:r>
      <w:r w:rsidR="003E30CF"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educational support work.</w:t>
      </w:r>
    </w:p>
    <w:p w:rsidR="00384DD3" w:rsidRPr="005F7CD9" w:rsidRDefault="000932C6" w:rsidP="00384DD3">
      <w:pPr>
        <w:pStyle w:val="ListParagraph"/>
        <w:numPr>
          <w:ilvl w:val="0"/>
          <w:numId w:val="9"/>
        </w:num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Some SEN training </w:t>
      </w:r>
      <w:proofErr w:type="spellStart"/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>eg</w:t>
      </w:r>
      <w:proofErr w:type="spellEnd"/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. ADHD </w:t>
      </w:r>
    </w:p>
    <w:p w:rsidR="00384DD3" w:rsidRPr="000932C6" w:rsidRDefault="00384DD3" w:rsidP="00384DD3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b/>
          <w:color w:val="333333"/>
          <w:sz w:val="24"/>
          <w:szCs w:val="24"/>
          <w:lang w:val="en" w:eastAsia="en-GB"/>
        </w:rPr>
      </w:pPr>
      <w:r w:rsidRPr="000932C6">
        <w:rPr>
          <w:rFonts w:ascii="Arial" w:hAnsi="Arial" w:cs="Arial"/>
          <w:b/>
          <w:color w:val="333333"/>
          <w:sz w:val="24"/>
          <w:szCs w:val="24"/>
          <w:lang w:val="en" w:eastAsia="en-GB"/>
        </w:rPr>
        <w:t xml:space="preserve">Staff Development </w:t>
      </w:r>
    </w:p>
    <w:p w:rsidR="00384DD3" w:rsidRPr="000932C6" w:rsidRDefault="00384DD3" w:rsidP="00384DD3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>
        <w:rPr>
          <w:rFonts w:ascii="Arial" w:hAnsi="Arial" w:cs="Arial"/>
          <w:color w:val="333333"/>
          <w:sz w:val="24"/>
          <w:szCs w:val="24"/>
          <w:lang w:val="en" w:eastAsia="en-GB"/>
        </w:rPr>
        <w:t>To undertake any training required in regards to the Transitions Programme</w:t>
      </w:r>
      <w:r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</w:t>
      </w:r>
      <w:r w:rsidRPr="000932C6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 </w:t>
      </w:r>
    </w:p>
    <w:p w:rsidR="00384DD3" w:rsidRPr="008E0818" w:rsidRDefault="00384DD3" w:rsidP="00384DD3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A commitment to the responsibility of safeguarding and promoting the welfare of young people </w:t>
      </w:r>
    </w:p>
    <w:p w:rsidR="00384DD3" w:rsidRDefault="00384DD3" w:rsidP="00384DD3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  <w:r w:rsidRPr="008E0818">
        <w:rPr>
          <w:rFonts w:ascii="Arial" w:hAnsi="Arial" w:cs="Arial"/>
          <w:color w:val="333333"/>
          <w:sz w:val="24"/>
          <w:szCs w:val="24"/>
          <w:lang w:val="en" w:eastAsia="en-GB"/>
        </w:rPr>
        <w:t xml:space="preserve">Willingness to undertake Child Protection training when required </w:t>
      </w:r>
    </w:p>
    <w:p w:rsidR="003E30CF" w:rsidRDefault="003E30CF" w:rsidP="003E30CF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24"/>
          <w:szCs w:val="24"/>
          <w:lang w:val="en" w:eastAsia="en-GB"/>
        </w:rPr>
      </w:pPr>
    </w:p>
    <w:p w:rsidR="00384DD3" w:rsidRDefault="00384DD3" w:rsidP="003E30CF">
      <w:pPr>
        <w:shd w:val="clear" w:color="auto" w:fill="FFFFFF"/>
        <w:spacing w:before="240" w:after="240" w:line="360" w:lineRule="auto"/>
        <w:rPr>
          <w:rFonts w:ascii="Arial" w:hAnsi="Arial" w:cs="Arial"/>
          <w:b/>
          <w:color w:val="333333"/>
          <w:sz w:val="24"/>
          <w:szCs w:val="24"/>
          <w:lang w:val="en" w:eastAsia="en-GB"/>
        </w:rPr>
      </w:pPr>
      <w:r w:rsidRPr="00384DD3">
        <w:rPr>
          <w:rFonts w:ascii="Arial" w:hAnsi="Arial" w:cs="Arial"/>
          <w:b/>
          <w:color w:val="333333"/>
          <w:sz w:val="24"/>
          <w:szCs w:val="24"/>
          <w:lang w:val="en"/>
        </w:rPr>
        <w:t>This project is funded by the Northern Ireland Executive's Social Investment Fund.</w:t>
      </w:r>
      <w:r w:rsidR="003E30CF" w:rsidRPr="00384DD3">
        <w:rPr>
          <w:rFonts w:ascii="Arial" w:hAnsi="Arial" w:cs="Arial"/>
          <w:b/>
          <w:color w:val="333333"/>
          <w:sz w:val="24"/>
          <w:szCs w:val="24"/>
          <w:lang w:val="en" w:eastAsia="en-GB"/>
        </w:rPr>
        <w:t> </w:t>
      </w:r>
    </w:p>
    <w:p w:rsidR="00384DD3" w:rsidRPr="00384DD3" w:rsidRDefault="00384DD3" w:rsidP="003E30CF">
      <w:pPr>
        <w:shd w:val="clear" w:color="auto" w:fill="FFFFFF"/>
        <w:spacing w:before="240" w:after="240" w:line="360" w:lineRule="auto"/>
        <w:rPr>
          <w:rFonts w:ascii="Arial" w:hAnsi="Arial" w:cs="Arial"/>
          <w:b/>
          <w:color w:val="333333"/>
          <w:sz w:val="24"/>
          <w:szCs w:val="24"/>
          <w:lang w:val="en" w:eastAsia="en-GB"/>
        </w:rPr>
      </w:pPr>
    </w:p>
    <w:p w:rsidR="006C5C9C" w:rsidRPr="00AC5729" w:rsidRDefault="003E30CF" w:rsidP="00AC5729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lang w:val="en" w:eastAsia="en-GB"/>
        </w:rPr>
      </w:pPr>
      <w:r w:rsidRPr="00384DD3">
        <w:rPr>
          <w:rFonts w:ascii="Arial" w:hAnsi="Arial" w:cs="Arial"/>
          <w:b/>
          <w:bCs/>
          <w:color w:val="333333"/>
          <w:lang w:val="en" w:eastAsia="en-GB"/>
        </w:rPr>
        <w:t>This document should not be taken as constituting conditions of employment</w:t>
      </w:r>
    </w:p>
    <w:sectPr w:rsidR="006C5C9C" w:rsidRPr="00AC5729" w:rsidSect="00F11D0F">
      <w:headerReference w:type="default" r:id="rId8"/>
      <w:footerReference w:type="default" r:id="rId9"/>
      <w:pgSz w:w="11906" w:h="16838" w:code="9"/>
      <w:pgMar w:top="2516" w:right="991" w:bottom="166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01" w:rsidRDefault="00D20901">
      <w:r>
        <w:separator/>
      </w:r>
    </w:p>
  </w:endnote>
  <w:endnote w:type="continuationSeparator" w:id="0">
    <w:p w:rsidR="00D20901" w:rsidRDefault="00D2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0F" w:rsidRDefault="00444BF5" w:rsidP="00F11D0F">
    <w:pPr>
      <w:pStyle w:val="Footer"/>
      <w:tabs>
        <w:tab w:val="clear" w:pos="4153"/>
        <w:tab w:val="clear" w:pos="8306"/>
      </w:tabs>
      <w:jc w:val="center"/>
      <w:rPr>
        <w:snapToGrid w:val="0"/>
      </w:rPr>
    </w:pPr>
    <w:r>
      <w:rPr>
        <w:noProof/>
        <w:color w:val="0000FF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C1D753" wp14:editId="526E4718">
              <wp:simplePos x="0" y="0"/>
              <wp:positionH relativeFrom="column">
                <wp:posOffset>-273685</wp:posOffset>
              </wp:positionH>
              <wp:positionV relativeFrom="paragraph">
                <wp:posOffset>131445</wp:posOffset>
              </wp:positionV>
              <wp:extent cx="5734050" cy="6546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D0F" w:rsidRPr="00B718EC" w:rsidRDefault="00F11D0F" w:rsidP="00B718EC">
                          <w:pPr>
                            <w:pBdr>
                              <w:top w:val="single" w:sz="18" w:space="1" w:color="1F497D" w:themeColor="text2"/>
                            </w:pBdr>
                            <w:spacing w:line="240" w:lineRule="atLeast"/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B718EC"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  <w:t>127-145 Sandy Row, Belfast, BT12 5ET</w:t>
                          </w:r>
                          <w:r w:rsidR="00B718EC" w:rsidRPr="00B718EC"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18EC"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  <w:tab/>
                            <w:t xml:space="preserve">          </w:t>
                          </w:r>
                          <w:r w:rsidR="00B718EC" w:rsidRPr="00B718EC"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523" w:rsidRPr="00B718EC"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  <w:t>Phone 02890</w:t>
                          </w:r>
                          <w:r w:rsidRPr="00B718EC"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  <w:t>244449</w:t>
                          </w:r>
                          <w:r w:rsidR="00B718EC"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  <w:tab/>
                            <w:t xml:space="preserve">       </w:t>
                          </w:r>
                          <w:r w:rsidR="00B718EC" w:rsidRPr="00B718EC"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B718EC" w:rsidRPr="00B718EC"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  <w:t>e</w:t>
                          </w:r>
                          <w:r w:rsidRPr="00B718EC"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  <w:t xml:space="preserve">mail </w:t>
                          </w:r>
                          <w:r w:rsidR="00B718EC" w:rsidRPr="00B718EC">
                            <w:rPr>
                              <w:snapToGrid w:val="0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1054" w:rsidRPr="00B718EC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nikki</w:t>
                          </w:r>
                          <w:r w:rsidRPr="00B718EC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@</w:t>
                          </w:r>
                          <w:r w:rsidR="003F2FF9" w:rsidRPr="00B718EC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bscr.co.uk</w:t>
                          </w:r>
                          <w:proofErr w:type="gramEnd"/>
                          <w:r w:rsidRPr="00B718EC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18EC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              www.bscr.co.uk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1D7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55pt;margin-top:10.35pt;width:451.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" stroked="f" strokeweight="4.5pt">
              <v:textbox>
                <w:txbxContent>
                  <w:p w:rsidR="00F11D0F" w:rsidRPr="00B718EC" w:rsidRDefault="00F11D0F" w:rsidP="00B718EC">
                    <w:pPr>
                      <w:pBdr>
                        <w:top w:val="single" w:sz="18" w:space="1" w:color="1F497D" w:themeColor="text2"/>
                      </w:pBdr>
                      <w:spacing w:line="240" w:lineRule="atLeast"/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</w:pPr>
                    <w:r w:rsidRPr="00B718EC"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  <w:t>127-145 Sandy Row, Belfast, BT12 5ET</w:t>
                    </w:r>
                    <w:r w:rsidR="00B718EC" w:rsidRPr="00B718EC"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="00B718EC"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  <w:tab/>
                      <w:t xml:space="preserve">          </w:t>
                    </w:r>
                    <w:r w:rsidR="00B718EC" w:rsidRPr="00B718EC"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="00FB4523" w:rsidRPr="00B718EC"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  <w:t>Phone 02890</w:t>
                    </w:r>
                    <w:r w:rsidRPr="00B718EC"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  <w:t>244449</w:t>
                    </w:r>
                    <w:r w:rsidR="00B718EC"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  <w:tab/>
                      <w:t xml:space="preserve">       </w:t>
                    </w:r>
                    <w:r w:rsidR="00B718EC" w:rsidRPr="00B718EC"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B718EC" w:rsidRPr="00B718EC"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  <w:t>e</w:t>
                    </w:r>
                    <w:r w:rsidRPr="00B718EC"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  <w:t xml:space="preserve">mail </w:t>
                    </w:r>
                    <w:r w:rsidR="00B718EC" w:rsidRPr="00B718EC">
                      <w:rPr>
                        <w:snapToGrid w:val="0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="005E1054" w:rsidRPr="00B718EC">
                      <w:rPr>
                        <w:color w:val="1F497D" w:themeColor="text2"/>
                        <w:sz w:val="16"/>
                        <w:szCs w:val="16"/>
                      </w:rPr>
                      <w:t>nikki</w:t>
                    </w:r>
                    <w:r w:rsidRPr="00B718EC">
                      <w:rPr>
                        <w:color w:val="1F497D" w:themeColor="text2"/>
                        <w:sz w:val="16"/>
                        <w:szCs w:val="16"/>
                      </w:rPr>
                      <w:t>@</w:t>
                    </w:r>
                    <w:r w:rsidR="003F2FF9" w:rsidRPr="00B718EC">
                      <w:rPr>
                        <w:color w:val="1F497D" w:themeColor="text2"/>
                        <w:sz w:val="16"/>
                        <w:szCs w:val="16"/>
                      </w:rPr>
                      <w:t>bscr.co.uk</w:t>
                    </w:r>
                    <w:proofErr w:type="gramEnd"/>
                    <w:r w:rsidRPr="00B718EC">
                      <w:rPr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="00B718EC">
                      <w:rPr>
                        <w:color w:val="1F497D" w:themeColor="text2"/>
                        <w:sz w:val="16"/>
                        <w:szCs w:val="16"/>
                      </w:rPr>
                      <w:t xml:space="preserve">               www.bscr.co.uk</w:t>
                    </w:r>
                  </w:p>
                </w:txbxContent>
              </v:textbox>
            </v:shape>
          </w:pict>
        </mc:Fallback>
      </mc:AlternateContent>
    </w:r>
  </w:p>
  <w:p w:rsidR="00F11D0F" w:rsidRDefault="00F11D0F">
    <w:pPr>
      <w:pStyle w:val="Footer"/>
      <w:jc w:val="center"/>
      <w:rPr>
        <w:snapToGrid w:val="0"/>
      </w:rPr>
    </w:pPr>
  </w:p>
  <w:p w:rsidR="00384DD3" w:rsidRDefault="00384DD3">
    <w:pPr>
      <w:pStyle w:val="Footer"/>
      <w:jc w:val="center"/>
      <w:rPr>
        <w:snapToGrid w:val="0"/>
      </w:rPr>
    </w:pPr>
    <w:r w:rsidRPr="00384DD3">
      <w:rPr>
        <w:rFonts w:ascii="Lucida Calligraphy" w:hAnsi="Lucida Calligraphy"/>
        <w:noProof/>
        <w:color w:val="0000FF"/>
        <w:sz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-421116</wp:posOffset>
          </wp:positionH>
          <wp:positionV relativeFrom="paragraph">
            <wp:posOffset>181908</wp:posOffset>
          </wp:positionV>
          <wp:extent cx="2115047" cy="1057318"/>
          <wp:effectExtent l="0" t="0" r="0" b="0"/>
          <wp:wrapNone/>
          <wp:docPr id="4" name="Picture 4" descr="D:\transition Prog\S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ransition Prog\SI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938" cy="106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DD3" w:rsidRDefault="00384DD3">
    <w:pPr>
      <w:pStyle w:val="Footer"/>
      <w:jc w:val="center"/>
      <w:rPr>
        <w:snapToGrid w:val="0"/>
      </w:rPr>
    </w:pPr>
  </w:p>
  <w:p w:rsidR="00384DD3" w:rsidRDefault="00384DD3">
    <w:pPr>
      <w:pStyle w:val="Footer"/>
      <w:jc w:val="center"/>
      <w:rPr>
        <w:snapToGrid w:val="0"/>
      </w:rPr>
    </w:pPr>
  </w:p>
  <w:p w:rsidR="00384DD3" w:rsidRDefault="00384DD3">
    <w:pPr>
      <w:pStyle w:val="Footer"/>
      <w:jc w:val="center"/>
      <w:rPr>
        <w:snapToGrid w:val="0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58240" behindDoc="0" locked="0" layoutInCell="1" allowOverlap="1" wp14:anchorId="7D039BFB" wp14:editId="0E83DEAD">
          <wp:simplePos x="0" y="0"/>
          <wp:positionH relativeFrom="column">
            <wp:posOffset>5494655</wp:posOffset>
          </wp:positionH>
          <wp:positionV relativeFrom="paragraph">
            <wp:posOffset>10326</wp:posOffset>
          </wp:positionV>
          <wp:extent cx="1388059" cy="743833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t for C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796" cy="749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1D0F" w:rsidRDefault="00F11D0F" w:rsidP="00F11D0F">
    <w:pPr>
      <w:spacing w:line="240" w:lineRule="atLeast"/>
      <w:jc w:val="center"/>
      <w:rPr>
        <w:snapToGrid w:val="0"/>
        <w:color w:val="0000FF"/>
      </w:rPr>
    </w:pPr>
  </w:p>
  <w:p w:rsidR="00F11D0F" w:rsidRDefault="00F11D0F" w:rsidP="00F11D0F">
    <w:pPr>
      <w:spacing w:line="240" w:lineRule="atLeast"/>
      <w:rPr>
        <w:snapToGrid w:val="0"/>
        <w:color w:val="0000FF"/>
      </w:rPr>
    </w:pPr>
  </w:p>
  <w:p w:rsidR="00F11D0F" w:rsidRDefault="00F11D0F" w:rsidP="00F11D0F">
    <w:pPr>
      <w:spacing w:line="240" w:lineRule="atLeast"/>
      <w:rPr>
        <w:snapToGrid w:val="0"/>
        <w:color w:val="0000FF"/>
      </w:rPr>
    </w:pPr>
  </w:p>
  <w:p w:rsidR="00F11D0F" w:rsidRDefault="00F11D0F">
    <w:pPr>
      <w:pStyle w:val="Footer"/>
      <w:jc w:val="center"/>
      <w:rPr>
        <w:rFonts w:ascii="Lucida Calligraphy" w:hAnsi="Lucida Calligraphy"/>
        <w:color w:val="0000FF"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01" w:rsidRDefault="00D20901">
      <w:r>
        <w:separator/>
      </w:r>
    </w:p>
  </w:footnote>
  <w:footnote w:type="continuationSeparator" w:id="0">
    <w:p w:rsidR="00D20901" w:rsidRDefault="00D2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0F" w:rsidRPr="002C105D" w:rsidRDefault="00062C2A" w:rsidP="00F11D0F">
    <w:pPr>
      <w:spacing w:line="240" w:lineRule="atLeast"/>
      <w:ind w:left="-426" w:right="-1"/>
      <w:jc w:val="center"/>
      <w:rPr>
        <w:sz w:val="52"/>
        <w:szCs w:val="52"/>
      </w:rPr>
    </w:pPr>
    <w:r w:rsidRPr="003E30CF">
      <w:rPr>
        <w:rFonts w:asciiTheme="minorHAnsi" w:hAnsiTheme="minorHAnsi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5FE9C65C" wp14:editId="266BA532">
          <wp:simplePos x="0" y="0"/>
          <wp:positionH relativeFrom="column">
            <wp:posOffset>-405516</wp:posOffset>
          </wp:positionH>
          <wp:positionV relativeFrom="paragraph">
            <wp:posOffset>-302149</wp:posOffset>
          </wp:positionV>
          <wp:extent cx="2552700" cy="1438275"/>
          <wp:effectExtent l="19050" t="0" r="0" b="0"/>
          <wp:wrapNone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4523">
      <w:rPr>
        <w:noProof/>
        <w:sz w:val="52"/>
        <w:szCs w:val="52"/>
        <w:lang w:eastAsia="en-GB"/>
      </w:rPr>
      <w:drawing>
        <wp:anchor distT="36576" distB="36576" distL="36576" distR="36576" simplePos="0" relativeHeight="251657216" behindDoc="0" locked="0" layoutInCell="1" allowOverlap="1" wp14:anchorId="6BF49E6C" wp14:editId="226E9657">
          <wp:simplePos x="0" y="0"/>
          <wp:positionH relativeFrom="column">
            <wp:posOffset>5574665</wp:posOffset>
          </wp:positionH>
          <wp:positionV relativeFrom="paragraph">
            <wp:posOffset>-371475</wp:posOffset>
          </wp:positionV>
          <wp:extent cx="853440" cy="933450"/>
          <wp:effectExtent l="19050" t="0" r="3810" b="0"/>
          <wp:wrapNone/>
          <wp:docPr id="7" name="Picture 2" descr="j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4607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334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D0F" w:rsidRDefault="00F11D0F">
    <w:pPr>
      <w:spacing w:line="240" w:lineRule="atLeast"/>
      <w:rPr>
        <w:snapToGrid w:val="0"/>
        <w:sz w:val="24"/>
      </w:rPr>
    </w:pPr>
  </w:p>
  <w:p w:rsidR="00F11D0F" w:rsidRDefault="00F11D0F">
    <w:pPr>
      <w:pStyle w:val="Footer"/>
      <w:jc w:val="right"/>
      <w:rPr>
        <w:snapToGrid w:val="0"/>
        <w:color w:val="FF0000"/>
      </w:rPr>
    </w:pPr>
    <w:r>
      <w:rPr>
        <w:snapToGrid w:val="0"/>
        <w:color w:val="FF0000"/>
      </w:rPr>
      <w:t>Charity No XR82884</w:t>
    </w:r>
  </w:p>
  <w:p w:rsidR="00F11D0F" w:rsidRDefault="00444BF5">
    <w:pPr>
      <w:pStyle w:val="Footer"/>
      <w:jc w:val="right"/>
      <w:rPr>
        <w:snapToGrid w:val="0"/>
        <w:color w:val="FF0000"/>
      </w:rPr>
    </w:pPr>
    <w:r>
      <w:rPr>
        <w:snapToGrid w:val="0"/>
        <w:color w:val="FF0000"/>
      </w:rPr>
      <w:tab/>
    </w:r>
    <w:r w:rsidR="00F11D0F">
      <w:rPr>
        <w:snapToGrid w:val="0"/>
        <w:color w:val="FF0000"/>
      </w:rPr>
      <w:t>Company No: N1053950</w:t>
    </w:r>
  </w:p>
  <w:p w:rsidR="00E92EC2" w:rsidRDefault="00E92EC2" w:rsidP="00E92EC2">
    <w:pPr>
      <w:pStyle w:val="Footer"/>
      <w:jc w:val="right"/>
      <w:rPr>
        <w:b/>
        <w:bCs/>
        <w:snapToGrid w:val="0"/>
        <w:color w:val="FF0000"/>
      </w:rPr>
    </w:pPr>
    <w:r>
      <w:rPr>
        <w:b/>
        <w:bCs/>
        <w:snapToGrid w:val="0"/>
        <w:color w:val="FF0000"/>
      </w:rPr>
      <w:t>Northern Ireland Charity number:  NIC101838</w:t>
    </w:r>
  </w:p>
  <w:p w:rsidR="00E92EC2" w:rsidRPr="00DE3AD1" w:rsidRDefault="00E92EC2">
    <w:pPr>
      <w:pStyle w:val="Footer"/>
      <w:jc w:val="right"/>
      <w:rPr>
        <w:snapToGrid w:val="0"/>
        <w:color w:val="FF0000"/>
      </w:rPr>
    </w:pPr>
  </w:p>
  <w:p w:rsidR="00F11D0F" w:rsidRDefault="00F11D0F" w:rsidP="00F11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E89"/>
    <w:multiLevelType w:val="multilevel"/>
    <w:tmpl w:val="E84A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97975"/>
    <w:multiLevelType w:val="hybridMultilevel"/>
    <w:tmpl w:val="CA6C3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231F"/>
    <w:multiLevelType w:val="hybridMultilevel"/>
    <w:tmpl w:val="21F627B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EF2341E"/>
    <w:multiLevelType w:val="multilevel"/>
    <w:tmpl w:val="3CF4E05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entative="1">
      <w:start w:val="1"/>
      <w:numFmt w:val="decimal"/>
      <w:lvlText w:val="%2."/>
      <w:lvlJc w:val="left"/>
      <w:pPr>
        <w:tabs>
          <w:tab w:val="num" w:pos="520"/>
        </w:tabs>
        <w:ind w:left="520" w:hanging="360"/>
      </w:pPr>
    </w:lvl>
    <w:lvl w:ilvl="2" w:tentative="1">
      <w:start w:val="1"/>
      <w:numFmt w:val="decimal"/>
      <w:lvlText w:val="%3."/>
      <w:lvlJc w:val="left"/>
      <w:pPr>
        <w:tabs>
          <w:tab w:val="num" w:pos="1240"/>
        </w:tabs>
        <w:ind w:left="1240" w:hanging="360"/>
      </w:pPr>
    </w:lvl>
    <w:lvl w:ilvl="3" w:tentative="1">
      <w:start w:val="1"/>
      <w:numFmt w:val="decimal"/>
      <w:lvlText w:val="%4."/>
      <w:lvlJc w:val="left"/>
      <w:pPr>
        <w:tabs>
          <w:tab w:val="num" w:pos="1960"/>
        </w:tabs>
        <w:ind w:left="1960" w:hanging="360"/>
      </w:pPr>
    </w:lvl>
    <w:lvl w:ilvl="4" w:tentative="1">
      <w:start w:val="1"/>
      <w:numFmt w:val="decimal"/>
      <w:lvlText w:val="%5."/>
      <w:lvlJc w:val="left"/>
      <w:pPr>
        <w:tabs>
          <w:tab w:val="num" w:pos="2680"/>
        </w:tabs>
        <w:ind w:left="2680" w:hanging="360"/>
      </w:pPr>
    </w:lvl>
    <w:lvl w:ilvl="5" w:tentative="1">
      <w:start w:val="1"/>
      <w:numFmt w:val="decimal"/>
      <w:lvlText w:val="%6."/>
      <w:lvlJc w:val="left"/>
      <w:pPr>
        <w:tabs>
          <w:tab w:val="num" w:pos="3400"/>
        </w:tabs>
        <w:ind w:left="3400" w:hanging="360"/>
      </w:pPr>
    </w:lvl>
    <w:lvl w:ilvl="6" w:tentative="1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 w:tentative="1">
      <w:start w:val="1"/>
      <w:numFmt w:val="decimal"/>
      <w:lvlText w:val="%8."/>
      <w:lvlJc w:val="left"/>
      <w:pPr>
        <w:tabs>
          <w:tab w:val="num" w:pos="4840"/>
        </w:tabs>
        <w:ind w:left="4840" w:hanging="360"/>
      </w:pPr>
    </w:lvl>
    <w:lvl w:ilvl="8" w:tentative="1">
      <w:start w:val="1"/>
      <w:numFmt w:val="decimal"/>
      <w:lvlText w:val="%9."/>
      <w:lvlJc w:val="left"/>
      <w:pPr>
        <w:tabs>
          <w:tab w:val="num" w:pos="5560"/>
        </w:tabs>
        <w:ind w:left="5560" w:hanging="360"/>
      </w:pPr>
    </w:lvl>
  </w:abstractNum>
  <w:abstractNum w:abstractNumId="4" w15:restartNumberingAfterBreak="0">
    <w:nsid w:val="30560B6E"/>
    <w:multiLevelType w:val="multilevel"/>
    <w:tmpl w:val="70F4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065BC"/>
    <w:multiLevelType w:val="hybridMultilevel"/>
    <w:tmpl w:val="5608E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034F"/>
    <w:multiLevelType w:val="multilevel"/>
    <w:tmpl w:val="3CF4E05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entative="1">
      <w:start w:val="1"/>
      <w:numFmt w:val="decimal"/>
      <w:lvlText w:val="%2."/>
      <w:lvlJc w:val="left"/>
      <w:pPr>
        <w:tabs>
          <w:tab w:val="num" w:pos="520"/>
        </w:tabs>
        <w:ind w:left="520" w:hanging="360"/>
      </w:pPr>
    </w:lvl>
    <w:lvl w:ilvl="2" w:tentative="1">
      <w:start w:val="1"/>
      <w:numFmt w:val="decimal"/>
      <w:lvlText w:val="%3."/>
      <w:lvlJc w:val="left"/>
      <w:pPr>
        <w:tabs>
          <w:tab w:val="num" w:pos="1240"/>
        </w:tabs>
        <w:ind w:left="1240" w:hanging="360"/>
      </w:pPr>
    </w:lvl>
    <w:lvl w:ilvl="3" w:tentative="1">
      <w:start w:val="1"/>
      <w:numFmt w:val="decimal"/>
      <w:lvlText w:val="%4."/>
      <w:lvlJc w:val="left"/>
      <w:pPr>
        <w:tabs>
          <w:tab w:val="num" w:pos="1960"/>
        </w:tabs>
        <w:ind w:left="1960" w:hanging="360"/>
      </w:pPr>
    </w:lvl>
    <w:lvl w:ilvl="4" w:tentative="1">
      <w:start w:val="1"/>
      <w:numFmt w:val="decimal"/>
      <w:lvlText w:val="%5."/>
      <w:lvlJc w:val="left"/>
      <w:pPr>
        <w:tabs>
          <w:tab w:val="num" w:pos="2680"/>
        </w:tabs>
        <w:ind w:left="2680" w:hanging="360"/>
      </w:pPr>
    </w:lvl>
    <w:lvl w:ilvl="5" w:tentative="1">
      <w:start w:val="1"/>
      <w:numFmt w:val="decimal"/>
      <w:lvlText w:val="%6."/>
      <w:lvlJc w:val="left"/>
      <w:pPr>
        <w:tabs>
          <w:tab w:val="num" w:pos="3400"/>
        </w:tabs>
        <w:ind w:left="3400" w:hanging="360"/>
      </w:pPr>
    </w:lvl>
    <w:lvl w:ilvl="6" w:tentative="1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 w:tentative="1">
      <w:start w:val="1"/>
      <w:numFmt w:val="decimal"/>
      <w:lvlText w:val="%8."/>
      <w:lvlJc w:val="left"/>
      <w:pPr>
        <w:tabs>
          <w:tab w:val="num" w:pos="4840"/>
        </w:tabs>
        <w:ind w:left="4840" w:hanging="360"/>
      </w:pPr>
    </w:lvl>
    <w:lvl w:ilvl="8" w:tentative="1">
      <w:start w:val="1"/>
      <w:numFmt w:val="decimal"/>
      <w:lvlText w:val="%9."/>
      <w:lvlJc w:val="left"/>
      <w:pPr>
        <w:tabs>
          <w:tab w:val="num" w:pos="5560"/>
        </w:tabs>
        <w:ind w:left="5560" w:hanging="360"/>
      </w:pPr>
    </w:lvl>
  </w:abstractNum>
  <w:abstractNum w:abstractNumId="7" w15:restartNumberingAfterBreak="0">
    <w:nsid w:val="474F666D"/>
    <w:multiLevelType w:val="hybridMultilevel"/>
    <w:tmpl w:val="B4BC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17CE"/>
    <w:multiLevelType w:val="multilevel"/>
    <w:tmpl w:val="70F4AF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71AA4"/>
    <w:multiLevelType w:val="hybridMultilevel"/>
    <w:tmpl w:val="897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EC"/>
    <w:rsid w:val="00014B0A"/>
    <w:rsid w:val="0004561F"/>
    <w:rsid w:val="0005476D"/>
    <w:rsid w:val="00057252"/>
    <w:rsid w:val="00062C2A"/>
    <w:rsid w:val="000932C6"/>
    <w:rsid w:val="000A43F8"/>
    <w:rsid w:val="000C5956"/>
    <w:rsid w:val="000E2602"/>
    <w:rsid w:val="000E54BB"/>
    <w:rsid w:val="001565DD"/>
    <w:rsid w:val="00191010"/>
    <w:rsid w:val="001926E0"/>
    <w:rsid w:val="00197D75"/>
    <w:rsid w:val="001B2715"/>
    <w:rsid w:val="002B750F"/>
    <w:rsid w:val="002C771A"/>
    <w:rsid w:val="0031752F"/>
    <w:rsid w:val="003759DB"/>
    <w:rsid w:val="00384DD3"/>
    <w:rsid w:val="003A27DC"/>
    <w:rsid w:val="003A525F"/>
    <w:rsid w:val="003B21CE"/>
    <w:rsid w:val="003E30CF"/>
    <w:rsid w:val="003F2FF9"/>
    <w:rsid w:val="0042328B"/>
    <w:rsid w:val="0043624D"/>
    <w:rsid w:val="00444BF5"/>
    <w:rsid w:val="00467C81"/>
    <w:rsid w:val="004957D0"/>
    <w:rsid w:val="004D014F"/>
    <w:rsid w:val="004D498B"/>
    <w:rsid w:val="00530B06"/>
    <w:rsid w:val="005A0886"/>
    <w:rsid w:val="005B379C"/>
    <w:rsid w:val="005E1054"/>
    <w:rsid w:val="005F7CD9"/>
    <w:rsid w:val="00620697"/>
    <w:rsid w:val="00656539"/>
    <w:rsid w:val="00667697"/>
    <w:rsid w:val="006740C8"/>
    <w:rsid w:val="0069013F"/>
    <w:rsid w:val="00692405"/>
    <w:rsid w:val="00697D32"/>
    <w:rsid w:val="006C5C9C"/>
    <w:rsid w:val="006F2D37"/>
    <w:rsid w:val="006F6D80"/>
    <w:rsid w:val="00710952"/>
    <w:rsid w:val="00710C41"/>
    <w:rsid w:val="0072569C"/>
    <w:rsid w:val="00736CEC"/>
    <w:rsid w:val="007459B2"/>
    <w:rsid w:val="00750B6E"/>
    <w:rsid w:val="0076319B"/>
    <w:rsid w:val="007855FB"/>
    <w:rsid w:val="007C58CC"/>
    <w:rsid w:val="007F7E38"/>
    <w:rsid w:val="008372DD"/>
    <w:rsid w:val="008837B3"/>
    <w:rsid w:val="008919F8"/>
    <w:rsid w:val="008C5207"/>
    <w:rsid w:val="008E0818"/>
    <w:rsid w:val="008F0735"/>
    <w:rsid w:val="008F3C6F"/>
    <w:rsid w:val="00945DB2"/>
    <w:rsid w:val="0095247F"/>
    <w:rsid w:val="0096741D"/>
    <w:rsid w:val="0097559A"/>
    <w:rsid w:val="009D7E41"/>
    <w:rsid w:val="009E50A7"/>
    <w:rsid w:val="00A21DF2"/>
    <w:rsid w:val="00A70F12"/>
    <w:rsid w:val="00AB1380"/>
    <w:rsid w:val="00AB2F8E"/>
    <w:rsid w:val="00AC571A"/>
    <w:rsid w:val="00AC5729"/>
    <w:rsid w:val="00AD2C6B"/>
    <w:rsid w:val="00B06BCD"/>
    <w:rsid w:val="00B16840"/>
    <w:rsid w:val="00B22392"/>
    <w:rsid w:val="00B376BB"/>
    <w:rsid w:val="00B53551"/>
    <w:rsid w:val="00B54F81"/>
    <w:rsid w:val="00B677EC"/>
    <w:rsid w:val="00B718EC"/>
    <w:rsid w:val="00BC7FA0"/>
    <w:rsid w:val="00BD3B04"/>
    <w:rsid w:val="00BD7083"/>
    <w:rsid w:val="00C21081"/>
    <w:rsid w:val="00C27923"/>
    <w:rsid w:val="00C32B2C"/>
    <w:rsid w:val="00C900F9"/>
    <w:rsid w:val="00CC266F"/>
    <w:rsid w:val="00CD44F3"/>
    <w:rsid w:val="00CE7389"/>
    <w:rsid w:val="00D1742B"/>
    <w:rsid w:val="00D20901"/>
    <w:rsid w:val="00D44A99"/>
    <w:rsid w:val="00D93F2E"/>
    <w:rsid w:val="00DA14BD"/>
    <w:rsid w:val="00DC0CF1"/>
    <w:rsid w:val="00DE314D"/>
    <w:rsid w:val="00E02C33"/>
    <w:rsid w:val="00E033DC"/>
    <w:rsid w:val="00E418A2"/>
    <w:rsid w:val="00E90ACB"/>
    <w:rsid w:val="00E92EC2"/>
    <w:rsid w:val="00EB7411"/>
    <w:rsid w:val="00EC1F3A"/>
    <w:rsid w:val="00F11D0F"/>
    <w:rsid w:val="00F16000"/>
    <w:rsid w:val="00F2454D"/>
    <w:rsid w:val="00F76D41"/>
    <w:rsid w:val="00F964B2"/>
    <w:rsid w:val="00FB302F"/>
    <w:rsid w:val="00FB4523"/>
    <w:rsid w:val="00FC5B02"/>
    <w:rsid w:val="00FC7C52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5F4B8"/>
  <w15:docId w15:val="{8FA7D9AD-ECFE-4A0A-ACA1-A54F9FF5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F1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C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0CF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DC0C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0CF1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56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5E1054"/>
    <w:pPr>
      <w:ind w:left="720"/>
      <w:contextualSpacing/>
    </w:pPr>
  </w:style>
  <w:style w:type="table" w:styleId="TableGrid">
    <w:name w:val="Table Grid"/>
    <w:basedOn w:val="TableNormal"/>
    <w:uiPriority w:val="59"/>
    <w:rsid w:val="006C5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locked/>
    <w:rsid w:val="009D7E4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%20officer\Desktop\headed%20templates\BSCR%20headed%20paper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6009-B872-4351-936B-5230A203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BSCR headed paperdocx</Template>
  <TotalTime>172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South Community Resources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officer</dc:creator>
  <cp:lastModifiedBy>Windows User</cp:lastModifiedBy>
  <cp:revision>10</cp:revision>
  <cp:lastPrinted>2016-09-06T16:18:00Z</cp:lastPrinted>
  <dcterms:created xsi:type="dcterms:W3CDTF">2017-08-03T15:36:00Z</dcterms:created>
  <dcterms:modified xsi:type="dcterms:W3CDTF">2017-08-22T10:18:00Z</dcterms:modified>
</cp:coreProperties>
</file>