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0312D2">
              <w:rPr>
                <w:rFonts w:ascii="Arial" w:hAnsi="Arial" w:cs="Arial"/>
                <w:sz w:val="24"/>
                <w:szCs w:val="24"/>
              </w:rPr>
              <w:t>Ballymena</w:t>
            </w:r>
            <w:bookmarkStart w:id="0" w:name="_GoBack"/>
            <w:bookmarkEnd w:id="0"/>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A56407">
              <w:rPr>
                <w:rFonts w:ascii="Arial" w:hAnsi="Arial" w:cs="Arial"/>
                <w:sz w:val="24"/>
                <w:szCs w:val="24"/>
              </w:rPr>
              <w:t>7.</w:t>
            </w:r>
            <w:r w:rsidR="001A57AF">
              <w:rPr>
                <w:rFonts w:ascii="Arial" w:hAnsi="Arial" w:cs="Arial"/>
                <w:sz w:val="24"/>
                <w:szCs w:val="24"/>
              </w:rPr>
              <w:t>83</w:t>
            </w:r>
            <w:r w:rsidR="00606BA9" w:rsidRPr="0037097D">
              <w:rPr>
                <w:rFonts w:ascii="Arial" w:hAnsi="Arial" w:cs="Arial"/>
                <w:sz w:val="24"/>
                <w:szCs w:val="24"/>
              </w:rPr>
              <w:t xml:space="preserve"> per hour</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r w:rsidR="009F2E33">
              <w:rPr>
                <w:rFonts w:ascii="Arial" w:hAnsi="Arial" w:cs="Arial"/>
                <w:sz w:val="24"/>
                <w:szCs w:val="24"/>
              </w:rPr>
              <w:t xml:space="preserve"> (and/or Assistant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B94ED3"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greet customers entering the shop </w:t>
            </w:r>
            <w:r w:rsidRPr="0037097D">
              <w:rPr>
                <w:rStyle w:val="Emphasis"/>
                <w:rFonts w:ascii="Arial" w:hAnsi="Arial" w:cs="Arial"/>
                <w:i w:val="0"/>
                <w:sz w:val="24"/>
                <w:szCs w:val="24"/>
              </w:rPr>
              <w:t>and a</w:t>
            </w:r>
            <w:r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accept/sort/price/store and/or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p>
          <w:p w:rsidR="00BD5047"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keep the store tidy and clean</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To undertake ap</w:t>
            </w:r>
            <w:r w:rsidR="00E365C1" w:rsidRPr="0037097D">
              <w:rPr>
                <w:rStyle w:val="Emphasis"/>
                <w:rFonts w:ascii="Arial" w:hAnsi="Arial" w:cs="Arial"/>
                <w:i w:val="0"/>
                <w:sz w:val="24"/>
                <w:szCs w:val="24"/>
              </w:rPr>
              <w:t>propriate training, as required</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 xml:space="preserve">To work flexible hours on a rota basis which will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12D2"/>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A57AF"/>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2452"/>
    <w:rsid w:val="00533BE8"/>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701BEE"/>
    <w:rsid w:val="0073608A"/>
    <w:rsid w:val="007367CC"/>
    <w:rsid w:val="00762B91"/>
    <w:rsid w:val="00764A3B"/>
    <w:rsid w:val="007746DA"/>
    <w:rsid w:val="00781DE3"/>
    <w:rsid w:val="007F5131"/>
    <w:rsid w:val="00816120"/>
    <w:rsid w:val="00826B26"/>
    <w:rsid w:val="00843458"/>
    <w:rsid w:val="0084514F"/>
    <w:rsid w:val="00846909"/>
    <w:rsid w:val="008B0760"/>
    <w:rsid w:val="008B6A6B"/>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6686"/>
    <w:rsid w:val="00F61144"/>
    <w:rsid w:val="00F612FF"/>
    <w:rsid w:val="00F641A6"/>
    <w:rsid w:val="00F90F46"/>
    <w:rsid w:val="00F96FF8"/>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4</cp:revision>
  <cp:lastPrinted>2018-11-13T16:36:00Z</cp:lastPrinted>
  <dcterms:created xsi:type="dcterms:W3CDTF">2017-06-28T15:29:00Z</dcterms:created>
  <dcterms:modified xsi:type="dcterms:W3CDTF">2018-11-13T16:36:00Z</dcterms:modified>
</cp:coreProperties>
</file>